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286263352"/>
        <w:docPartObj>
          <w:docPartGallery w:val="Cover Pages"/>
          <w:docPartUnique/>
        </w:docPartObj>
      </w:sdtPr>
      <w:sdtEndPr>
        <w:rPr>
          <w:rStyle w:val="Heading1Char"/>
          <w:b/>
          <w:bCs/>
          <w:i/>
          <w:caps w:val="0"/>
          <w:color w:val="365F91" w:themeColor="accent1" w:themeShade="BF"/>
          <w:sz w:val="28"/>
          <w:szCs w:val="28"/>
        </w:rPr>
      </w:sdtEndPr>
      <w:sdtContent>
        <w:sdt>
          <w:sdtPr>
            <w:rPr>
              <w:rFonts w:asciiTheme="majorHAnsi" w:eastAsiaTheme="majorEastAsia" w:hAnsiTheme="majorHAnsi" w:cstheme="majorBidi"/>
              <w:b/>
              <w:bCs/>
              <w:color w:val="365F91" w:themeColor="accent1" w:themeShade="BF"/>
              <w:sz w:val="72"/>
              <w:szCs w:val="72"/>
              <w:lang w:eastAsia="en-US"/>
            </w:rPr>
            <w:id w:val="15530768"/>
            <w:docPartObj>
              <w:docPartGallery w:val="Cover Pages"/>
              <w:docPartUnique/>
            </w:docPartObj>
          </w:sdtPr>
          <w:sdtEndPr>
            <w:rPr>
              <w:rFonts w:asciiTheme="minorHAnsi" w:eastAsiaTheme="minorHAnsi" w:hAnsiTheme="minorHAnsi" w:cstheme="minorBidi"/>
              <w:sz w:val="22"/>
              <w:szCs w:val="22"/>
            </w:rPr>
          </w:sdtEndPr>
          <w:sdtContent>
            <w:p w:rsidR="00234C98" w:rsidRPr="0069740E" w:rsidRDefault="00234C98" w:rsidP="00234C98">
              <w:pPr>
                <w:pStyle w:val="NoSpacing"/>
                <w:rPr>
                  <w:rFonts w:asciiTheme="majorHAnsi" w:eastAsiaTheme="majorEastAsia" w:hAnsiTheme="majorHAnsi" w:cstheme="majorBidi"/>
                  <w:b/>
                  <w:sz w:val="52"/>
                  <w:szCs w:val="52"/>
                  <w:u w:val="single"/>
                </w:rPr>
              </w:pPr>
              <w:r>
                <w:rPr>
                  <w:rFonts w:eastAsiaTheme="majorEastAsia" w:cstheme="majorBidi"/>
                  <w:noProof/>
                  <w:lang w:eastAsia="en-US"/>
                </w:rPr>
                <mc:AlternateContent>
                  <mc:Choice Requires="wps">
                    <w:drawing>
                      <wp:anchor distT="0" distB="0" distL="114300" distR="114300" simplePos="0" relativeHeight="251659264" behindDoc="0" locked="0" layoutInCell="0" allowOverlap="1" wp14:anchorId="44E04145" wp14:editId="6A34D911">
                        <wp:simplePos x="0" y="0"/>
                        <wp:positionH relativeFrom="page">
                          <wp:align>center</wp:align>
                        </wp:positionH>
                        <wp:positionV relativeFrom="page">
                          <wp:align>bottom</wp:align>
                        </wp:positionV>
                        <wp:extent cx="8146415" cy="801370"/>
                        <wp:effectExtent l="0" t="0" r="11430" b="15240"/>
                        <wp:wrapNone/>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01370"/>
                                </a:xfrm>
                                <a:prstGeom prst="rect">
                                  <a:avLst/>
                                </a:prstGeom>
                                <a:solidFill>
                                  <a:schemeClr val="accent1">
                                    <a:lumMod val="75000"/>
                                    <a:lumOff val="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5" o:spid="_x0000_s1026" style="position:absolute;margin-left:0;margin-top:0;width:641.45pt;height:63.1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" o:allowincell="f" fillcolor="#365f91 [2404]" strokecolor="#17365d [2415]">
                        <w10:wrap anchorx="page" anchory="page"/>
                      </v:rect>
                    </w:pict>
                  </mc:Fallback>
                </mc:AlternateContent>
              </w:r>
              <w:r>
                <w:rPr>
                  <w:rFonts w:eastAsiaTheme="majorEastAsia" w:cstheme="majorBidi"/>
                  <w:noProof/>
                  <w:lang w:eastAsia="en-US"/>
                </w:rPr>
                <mc:AlternateContent>
                  <mc:Choice Requires="wps">
                    <w:drawing>
                      <wp:anchor distT="0" distB="0" distL="114300" distR="114300" simplePos="0" relativeHeight="251660288" behindDoc="0" locked="0" layoutInCell="0" allowOverlap="1" wp14:anchorId="08785BB0" wp14:editId="0C6221BE">
                        <wp:simplePos x="0" y="0"/>
                        <wp:positionH relativeFrom="leftMargin">
                          <wp:align>center</wp:align>
                        </wp:positionH>
                        <wp:positionV relativeFrom="page">
                          <wp:align>center</wp:align>
                        </wp:positionV>
                        <wp:extent cx="90805" cy="10546715"/>
                        <wp:effectExtent l="0" t="0" r="23495" b="11430"/>
                        <wp:wrapNone/>
                        <wp:docPr id="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6" o:spid="_x0000_s1026" style="position:absolute;margin-left:0;margin-top:0;width:7.15pt;height:830.45pt;z-index:25166028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" o:allowincell="f" fillcolor="white [3212]" strokecolor="#365f91 [2404]">
                        <w10:wrap anchorx="margin" anchory="page"/>
                      </v:rect>
                    </w:pict>
                  </mc:Fallback>
                </mc:AlternateContent>
              </w:r>
              <w:r>
                <w:rPr>
                  <w:rFonts w:eastAsiaTheme="majorEastAsia" w:cstheme="majorBidi"/>
                  <w:noProof/>
                  <w:lang w:eastAsia="en-US"/>
                </w:rPr>
                <mc:AlternateContent>
                  <mc:Choice Requires="wps">
                    <w:drawing>
                      <wp:anchor distT="0" distB="0" distL="114300" distR="114300" simplePos="0" relativeHeight="251661312" behindDoc="0" locked="0" layoutInCell="0" allowOverlap="1" wp14:anchorId="2BB52F58" wp14:editId="60E61B15">
                        <wp:simplePos x="0" y="0"/>
                        <wp:positionH relativeFrom="rightMargin">
                          <wp:align>center</wp:align>
                        </wp:positionH>
                        <wp:positionV relativeFrom="page">
                          <wp:align>center</wp:align>
                        </wp:positionV>
                        <wp:extent cx="90805" cy="10546715"/>
                        <wp:effectExtent l="0" t="0" r="23495" b="11430"/>
                        <wp:wrapNone/>
                        <wp:docPr id="2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6715"/>
                                </a:xfrm>
                                <a:prstGeom prst="rect">
                                  <a:avLst/>
                                </a:prstGeom>
                                <a:solidFill>
                                  <a:schemeClr val="bg1">
                                    <a:lumMod val="100000"/>
                                    <a:lumOff val="0"/>
                                  </a:schemeClr>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7" o:spid="_x0000_s1026" style="position:absolute;margin-left:0;margin-top:0;width:7.15pt;height:830.4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" o:allowincell="f" fillcolor="white [3212]" strokecolor="#365f91 [2404]">
                        <w10:wrap anchorx="margin" anchory="page"/>
                      </v:rect>
                    </w:pict>
                  </mc:Fallback>
                </mc:AlternateContent>
              </w:r>
              <w:r>
                <w:rPr>
                  <w:rFonts w:eastAsiaTheme="majorEastAsia" w:cstheme="majorBidi"/>
                  <w:noProof/>
                  <w:lang w:eastAsia="en-US"/>
                </w:rPr>
                <mc:AlternateContent>
                  <mc:Choice Requires="wps">
                    <w:drawing>
                      <wp:anchor distT="0" distB="0" distL="114300" distR="114300" simplePos="0" relativeHeight="251662336" behindDoc="0" locked="0" layoutInCell="0" allowOverlap="1" wp14:anchorId="76A9E5D8" wp14:editId="6EE37AEA">
                        <wp:simplePos x="0" y="0"/>
                        <wp:positionH relativeFrom="page">
                          <wp:align>center</wp:align>
                        </wp:positionH>
                        <wp:positionV relativeFrom="topMargin">
                          <wp:align>top</wp:align>
                        </wp:positionV>
                        <wp:extent cx="8146415" cy="801370"/>
                        <wp:effectExtent l="0" t="0" r="11430" b="1524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801370"/>
                                </a:xfrm>
                                <a:prstGeom prst="rect">
                                  <a:avLst/>
                                </a:prstGeom>
                                <a:solidFill>
                                  <a:schemeClr val="accent1">
                                    <a:lumMod val="75000"/>
                                    <a:lumOff val="0"/>
                                  </a:schemeClr>
                                </a:solidFill>
                                <a:ln w="9525">
                                  <a:solidFill>
                                    <a:srgbClr val="17365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8" o:spid="_x0000_s1026" style="position:absolute;margin-left:0;margin-top:0;width:641.45pt;height:63.1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" o:allowincell="f" fillcolor="#365f91 [2404]" strokecolor="#17365d">
                        <w10:wrap anchorx="page" anchory="margin"/>
                      </v:rect>
                    </w:pict>
                  </mc:Fallback>
                </mc:AlternateContent>
              </w:r>
              <w:sdt>
                <w:sdtPr>
                  <w:rPr>
                    <w:rFonts w:asciiTheme="majorHAnsi" w:eastAsiaTheme="majorEastAsia" w:hAnsiTheme="majorHAnsi" w:cstheme="majorBidi"/>
                    <w:b/>
                    <w:sz w:val="48"/>
                    <w:szCs w:val="48"/>
                    <w:u w:val="single"/>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Pr="0069740E">
                    <w:rPr>
                      <w:rFonts w:asciiTheme="majorHAnsi" w:eastAsiaTheme="majorEastAsia" w:hAnsiTheme="majorHAnsi" w:cstheme="majorBidi"/>
                      <w:b/>
                      <w:sz w:val="48"/>
                      <w:szCs w:val="48"/>
                      <w:u w:val="single"/>
                    </w:rPr>
                    <w:t xml:space="preserve">The </w:t>
                  </w:r>
                  <w:r w:rsidR="00910DDA">
                    <w:rPr>
                      <w:rFonts w:asciiTheme="majorHAnsi" w:eastAsiaTheme="majorEastAsia" w:hAnsiTheme="majorHAnsi" w:cstheme="majorBidi"/>
                      <w:b/>
                      <w:sz w:val="48"/>
                      <w:szCs w:val="48"/>
                      <w:u w:val="single"/>
                    </w:rPr>
                    <w:t xml:space="preserve">Deteriorating Labor Market Fortunes of America’s Teens, 2000-2012, the Decline in Our International Position, and the </w:t>
                  </w:r>
                  <w:r w:rsidRPr="0069740E">
                    <w:rPr>
                      <w:rFonts w:asciiTheme="majorHAnsi" w:eastAsiaTheme="majorEastAsia" w:hAnsiTheme="majorHAnsi" w:cstheme="majorBidi"/>
                      <w:b/>
                      <w:sz w:val="48"/>
                      <w:szCs w:val="48"/>
                      <w:u w:val="single"/>
                    </w:rPr>
                    <w:t>Co</w:t>
                  </w:r>
                  <w:r w:rsidR="00910DDA">
                    <w:rPr>
                      <w:rFonts w:asciiTheme="majorHAnsi" w:eastAsiaTheme="majorEastAsia" w:hAnsiTheme="majorHAnsi" w:cstheme="majorBidi"/>
                      <w:b/>
                      <w:sz w:val="48"/>
                      <w:szCs w:val="48"/>
                      <w:u w:val="single"/>
                    </w:rPr>
                    <w:t>nsequences for Future Young Adult Employment in Our Nation</w:t>
                  </w:r>
                </w:sdtContent>
              </w:sdt>
            </w:p>
            <w:p w:rsidR="00234C98" w:rsidRDefault="00234C98" w:rsidP="00234C98">
              <w:pPr>
                <w:pStyle w:val="NoSpacing"/>
                <w:rPr>
                  <w:rFonts w:asciiTheme="majorHAnsi" w:eastAsiaTheme="majorEastAsia" w:hAnsiTheme="majorHAnsi" w:cstheme="majorBidi"/>
                  <w:sz w:val="36"/>
                  <w:szCs w:val="36"/>
                </w:rPr>
              </w:pPr>
            </w:p>
            <w:p w:rsidR="00234C98" w:rsidRDefault="00234C98" w:rsidP="00234C98">
              <w:pPr>
                <w:pStyle w:val="NoSpacing"/>
                <w:rPr>
                  <w:rFonts w:asciiTheme="majorHAnsi" w:eastAsiaTheme="majorEastAsia" w:hAnsiTheme="majorHAnsi" w:cstheme="majorBidi"/>
                  <w:sz w:val="36"/>
                  <w:szCs w:val="36"/>
                </w:rPr>
              </w:pPr>
            </w:p>
            <w:p w:rsidR="00234C98" w:rsidRDefault="00234C98" w:rsidP="00234C98">
              <w:pPr>
                <w:pStyle w:val="NoSpacing"/>
                <w:rPr>
                  <w:rFonts w:asciiTheme="majorHAnsi" w:hAnsiTheme="majorHAnsi"/>
                  <w:sz w:val="32"/>
                  <w:szCs w:val="32"/>
                </w:rPr>
              </w:pPr>
              <w:r>
                <w:rPr>
                  <w:rFonts w:asciiTheme="majorHAnsi" w:hAnsiTheme="majorHAnsi"/>
                  <w:sz w:val="32"/>
                  <w:szCs w:val="32"/>
                  <w:u w:val="single"/>
                </w:rPr>
                <w:t>Prepared by</w:t>
              </w:r>
              <w:r>
                <w:rPr>
                  <w:rFonts w:asciiTheme="majorHAnsi" w:hAnsiTheme="majorHAnsi"/>
                  <w:sz w:val="32"/>
                  <w:szCs w:val="32"/>
                </w:rPr>
                <w:t>:</w:t>
              </w:r>
            </w:p>
            <w:p w:rsidR="00234C98" w:rsidRDefault="00234C98" w:rsidP="00234C98">
              <w:pPr>
                <w:pStyle w:val="NoSpacing"/>
                <w:rPr>
                  <w:rFonts w:asciiTheme="majorHAnsi" w:hAnsiTheme="majorHAnsi"/>
                  <w:sz w:val="32"/>
                  <w:szCs w:val="32"/>
                </w:rPr>
              </w:pPr>
              <w:r>
                <w:rPr>
                  <w:rFonts w:asciiTheme="majorHAnsi" w:hAnsiTheme="majorHAnsi"/>
                  <w:sz w:val="32"/>
                  <w:szCs w:val="32"/>
                </w:rPr>
                <w:t>Andrew Sum</w:t>
              </w:r>
            </w:p>
            <w:p w:rsidR="00234C98" w:rsidRDefault="00234C98" w:rsidP="00234C98">
              <w:pPr>
                <w:pStyle w:val="NoSpacing"/>
                <w:rPr>
                  <w:rFonts w:asciiTheme="majorHAnsi" w:hAnsiTheme="majorHAnsi"/>
                  <w:sz w:val="32"/>
                  <w:szCs w:val="32"/>
                </w:rPr>
              </w:pPr>
              <w:r>
                <w:rPr>
                  <w:rFonts w:asciiTheme="majorHAnsi" w:hAnsiTheme="majorHAnsi"/>
                  <w:sz w:val="32"/>
                  <w:szCs w:val="32"/>
                </w:rPr>
                <w:t>Ishwar Khatiwada</w:t>
              </w:r>
            </w:p>
            <w:p w:rsidR="004510E0" w:rsidRDefault="004510E0" w:rsidP="004510E0">
              <w:pPr>
                <w:pStyle w:val="NoSpacing"/>
                <w:rPr>
                  <w:rFonts w:asciiTheme="majorHAnsi" w:hAnsiTheme="majorHAnsi"/>
                  <w:sz w:val="32"/>
                  <w:szCs w:val="32"/>
                </w:rPr>
              </w:pPr>
              <w:r>
                <w:rPr>
                  <w:rFonts w:asciiTheme="majorHAnsi" w:hAnsiTheme="majorHAnsi"/>
                  <w:sz w:val="32"/>
                  <w:szCs w:val="32"/>
                </w:rPr>
                <w:t>Walter McHugh</w:t>
              </w:r>
            </w:p>
            <w:p w:rsidR="004510E0" w:rsidRDefault="004510E0" w:rsidP="00234C98">
              <w:pPr>
                <w:pStyle w:val="NoSpacing"/>
                <w:rPr>
                  <w:rFonts w:asciiTheme="majorHAnsi" w:hAnsiTheme="majorHAnsi"/>
                  <w:sz w:val="32"/>
                  <w:szCs w:val="32"/>
                </w:rPr>
              </w:pPr>
            </w:p>
            <w:p w:rsidR="00234C98" w:rsidRDefault="00234C98" w:rsidP="00234C98">
              <w:pPr>
                <w:pStyle w:val="NoSpacing"/>
                <w:rPr>
                  <w:rFonts w:asciiTheme="majorHAnsi" w:hAnsiTheme="majorHAnsi"/>
                  <w:sz w:val="32"/>
                  <w:szCs w:val="32"/>
                </w:rPr>
              </w:pPr>
              <w:r>
                <w:rPr>
                  <w:rFonts w:asciiTheme="majorHAnsi" w:hAnsiTheme="majorHAnsi"/>
                  <w:sz w:val="32"/>
                  <w:szCs w:val="32"/>
                </w:rPr>
                <w:t>With</w:t>
              </w:r>
            </w:p>
            <w:p w:rsidR="00910DDA" w:rsidRDefault="00910DDA" w:rsidP="00234C98">
              <w:pPr>
                <w:pStyle w:val="NoSpacing"/>
                <w:rPr>
                  <w:rFonts w:asciiTheme="majorHAnsi" w:hAnsiTheme="majorHAnsi"/>
                  <w:sz w:val="32"/>
                  <w:szCs w:val="32"/>
                </w:rPr>
              </w:pPr>
              <w:r>
                <w:rPr>
                  <w:rFonts w:asciiTheme="majorHAnsi" w:hAnsiTheme="majorHAnsi"/>
                  <w:sz w:val="32"/>
                  <w:szCs w:val="32"/>
                </w:rPr>
                <w:t>Will Kent</w:t>
              </w:r>
            </w:p>
            <w:p w:rsidR="00234C98" w:rsidRDefault="00234C98" w:rsidP="00234C98">
              <w:pPr>
                <w:pStyle w:val="NoSpacing"/>
                <w:rPr>
                  <w:rFonts w:asciiTheme="majorHAnsi" w:hAnsiTheme="majorHAnsi"/>
                  <w:sz w:val="32"/>
                  <w:szCs w:val="32"/>
                </w:rPr>
              </w:pPr>
            </w:p>
            <w:p w:rsidR="00234C98" w:rsidRDefault="00234C98" w:rsidP="00234C98">
              <w:pPr>
                <w:pStyle w:val="NoSpacing"/>
                <w:rPr>
                  <w:rFonts w:asciiTheme="majorHAnsi" w:hAnsiTheme="majorHAnsi"/>
                  <w:sz w:val="32"/>
                  <w:szCs w:val="32"/>
                </w:rPr>
              </w:pPr>
              <w:r>
                <w:rPr>
                  <w:rFonts w:asciiTheme="majorHAnsi" w:hAnsiTheme="majorHAnsi"/>
                  <w:sz w:val="32"/>
                  <w:szCs w:val="32"/>
                </w:rPr>
                <w:t>Center for Labor Market Studies</w:t>
              </w:r>
            </w:p>
            <w:p w:rsidR="00234C98" w:rsidRDefault="00234C98" w:rsidP="00234C98">
              <w:pPr>
                <w:pStyle w:val="NoSpacing"/>
                <w:rPr>
                  <w:rFonts w:asciiTheme="majorHAnsi" w:hAnsiTheme="majorHAnsi"/>
                  <w:sz w:val="32"/>
                  <w:szCs w:val="32"/>
                </w:rPr>
              </w:pPr>
              <w:r>
                <w:rPr>
                  <w:rFonts w:asciiTheme="majorHAnsi" w:hAnsiTheme="majorHAnsi"/>
                  <w:sz w:val="32"/>
                  <w:szCs w:val="32"/>
                </w:rPr>
                <w:t>Northeastern University</w:t>
              </w:r>
            </w:p>
            <w:p w:rsidR="00234C98" w:rsidRDefault="00234C98" w:rsidP="00234C98">
              <w:pPr>
                <w:pStyle w:val="NoSpacing"/>
                <w:rPr>
                  <w:rFonts w:asciiTheme="majorHAnsi" w:hAnsiTheme="majorHAnsi"/>
                  <w:sz w:val="32"/>
                  <w:szCs w:val="32"/>
                </w:rPr>
              </w:pPr>
            </w:p>
            <w:p w:rsidR="00234C98" w:rsidRDefault="00234C98" w:rsidP="00234C98">
              <w:pPr>
                <w:pStyle w:val="NoSpacing"/>
                <w:rPr>
                  <w:rFonts w:asciiTheme="majorHAnsi" w:hAnsiTheme="majorHAnsi"/>
                  <w:sz w:val="32"/>
                  <w:szCs w:val="32"/>
                </w:rPr>
              </w:pPr>
              <w:r w:rsidRPr="00425817">
                <w:rPr>
                  <w:rFonts w:asciiTheme="majorHAnsi" w:hAnsiTheme="majorHAnsi"/>
                  <w:sz w:val="32"/>
                  <w:szCs w:val="32"/>
                  <w:u w:val="single"/>
                </w:rPr>
                <w:t>Prepared for:</w:t>
              </w:r>
            </w:p>
            <w:p w:rsidR="00234C98" w:rsidRDefault="00910DDA" w:rsidP="00234C98">
              <w:pPr>
                <w:pStyle w:val="NoSpacing"/>
                <w:rPr>
                  <w:rFonts w:asciiTheme="majorHAnsi" w:hAnsiTheme="majorHAnsi"/>
                  <w:sz w:val="32"/>
                  <w:szCs w:val="32"/>
                </w:rPr>
              </w:pPr>
              <w:r>
                <w:rPr>
                  <w:rFonts w:asciiTheme="majorHAnsi" w:hAnsiTheme="majorHAnsi"/>
                  <w:sz w:val="32"/>
                  <w:szCs w:val="32"/>
                </w:rPr>
                <w:t>Jobs for America’s Graduates (JAG)</w:t>
              </w:r>
            </w:p>
            <w:p w:rsidR="00234C98" w:rsidRDefault="00910DDA" w:rsidP="00234C98">
              <w:pPr>
                <w:pStyle w:val="NoSpacing"/>
                <w:rPr>
                  <w:rFonts w:asciiTheme="majorHAnsi" w:hAnsiTheme="majorHAnsi"/>
                  <w:sz w:val="32"/>
                  <w:szCs w:val="32"/>
                </w:rPr>
              </w:pPr>
              <w:r>
                <w:rPr>
                  <w:rFonts w:asciiTheme="majorHAnsi" w:hAnsiTheme="majorHAnsi"/>
                  <w:sz w:val="32"/>
                  <w:szCs w:val="32"/>
                </w:rPr>
                <w:t>Alexandr</w:t>
              </w:r>
              <w:r w:rsidR="004510E0">
                <w:rPr>
                  <w:rFonts w:asciiTheme="majorHAnsi" w:hAnsiTheme="majorHAnsi"/>
                  <w:sz w:val="32"/>
                  <w:szCs w:val="32"/>
                </w:rPr>
                <w:t>i</w:t>
              </w:r>
              <w:r>
                <w:rPr>
                  <w:rFonts w:asciiTheme="majorHAnsi" w:hAnsiTheme="majorHAnsi"/>
                  <w:sz w:val="32"/>
                  <w:szCs w:val="32"/>
                </w:rPr>
                <w:t>a</w:t>
              </w:r>
              <w:r w:rsidR="00234C98">
                <w:rPr>
                  <w:rFonts w:asciiTheme="majorHAnsi" w:hAnsiTheme="majorHAnsi"/>
                  <w:sz w:val="32"/>
                  <w:szCs w:val="32"/>
                </w:rPr>
                <w:t xml:space="preserve">, </w:t>
              </w:r>
              <w:r>
                <w:rPr>
                  <w:rFonts w:asciiTheme="majorHAnsi" w:hAnsiTheme="majorHAnsi"/>
                  <w:sz w:val="32"/>
                  <w:szCs w:val="32"/>
                </w:rPr>
                <w:t>Virginia</w:t>
              </w:r>
            </w:p>
            <w:p w:rsidR="00234C98" w:rsidRDefault="00234C98" w:rsidP="00234C98">
              <w:pPr>
                <w:pStyle w:val="NoSpacing"/>
                <w:rPr>
                  <w:rFonts w:asciiTheme="majorHAnsi" w:hAnsiTheme="majorHAnsi"/>
                  <w:sz w:val="32"/>
                  <w:szCs w:val="32"/>
                </w:rPr>
              </w:pPr>
            </w:p>
            <w:p w:rsidR="00234C98" w:rsidRDefault="00910DDA" w:rsidP="00234C98">
              <w:pPr>
                <w:pStyle w:val="NoSpacing"/>
                <w:rPr>
                  <w:color w:val="17365D" w:themeColor="text2" w:themeShade="BF"/>
                  <w:sz w:val="16"/>
                  <w:szCs w:val="16"/>
                </w:rPr>
              </w:pPr>
              <w:r>
                <w:rPr>
                  <w:rFonts w:asciiTheme="majorHAnsi" w:hAnsiTheme="majorHAnsi"/>
                  <w:b/>
                  <w:sz w:val="32"/>
                  <w:szCs w:val="32"/>
                </w:rPr>
                <w:t>December</w:t>
              </w:r>
              <w:r w:rsidR="00E85C56">
                <w:rPr>
                  <w:rFonts w:asciiTheme="majorHAnsi" w:hAnsiTheme="majorHAnsi"/>
                  <w:b/>
                  <w:sz w:val="32"/>
                  <w:szCs w:val="32"/>
                </w:rPr>
                <w:t xml:space="preserve"> 2013</w:t>
              </w:r>
            </w:p>
            <w:p w:rsidR="00234C98" w:rsidRDefault="00234C98" w:rsidP="00234C98">
              <w:pPr>
                <w:pStyle w:val="Heading3"/>
                <w:tabs>
                  <w:tab w:val="left" w:pos="6480"/>
                </w:tabs>
                <w:spacing w:before="0"/>
                <w:rPr>
                  <w:color w:val="17365D" w:themeColor="text2" w:themeShade="BF"/>
                  <w:sz w:val="16"/>
                  <w:szCs w:val="16"/>
                </w:rPr>
              </w:pPr>
              <w:r>
                <w:rPr>
                  <w:color w:val="17365D" w:themeColor="text2" w:themeShade="BF"/>
                  <w:sz w:val="16"/>
                  <w:szCs w:val="16"/>
                </w:rPr>
                <w:tab/>
              </w:r>
            </w:p>
            <w:p w:rsidR="00234C98" w:rsidRDefault="00234C98" w:rsidP="00234C98">
              <w:pPr>
                <w:pStyle w:val="Heading3"/>
                <w:tabs>
                  <w:tab w:val="left" w:pos="6480"/>
                </w:tabs>
                <w:spacing w:before="0"/>
                <w:rPr>
                  <w:color w:val="17365D" w:themeColor="text2" w:themeShade="BF"/>
                  <w:sz w:val="16"/>
                  <w:szCs w:val="16"/>
                </w:rPr>
              </w:pPr>
              <w:r>
                <w:rPr>
                  <w:color w:val="17365D" w:themeColor="text2" w:themeShade="BF"/>
                  <w:sz w:val="16"/>
                  <w:szCs w:val="16"/>
                </w:rPr>
                <w:tab/>
              </w:r>
            </w:p>
            <w:p w:rsidR="00234C98" w:rsidRDefault="00234C98" w:rsidP="00234C98">
              <w:pPr>
                <w:pStyle w:val="Heading3"/>
                <w:tabs>
                  <w:tab w:val="left" w:pos="6480"/>
                </w:tabs>
                <w:spacing w:before="0"/>
                <w:rPr>
                  <w:color w:val="17365D" w:themeColor="text2" w:themeShade="BF"/>
                  <w:sz w:val="16"/>
                  <w:szCs w:val="16"/>
                </w:rPr>
              </w:pPr>
              <w:r>
                <w:rPr>
                  <w:color w:val="17365D" w:themeColor="text2" w:themeShade="BF"/>
                  <w:sz w:val="16"/>
                  <w:szCs w:val="16"/>
                </w:rPr>
                <w:tab/>
              </w:r>
            </w:p>
            <w:p w:rsidR="00234C98" w:rsidRDefault="00234C98" w:rsidP="00234C98">
              <w:pPr>
                <w:pStyle w:val="Heading3"/>
                <w:tabs>
                  <w:tab w:val="left" w:pos="6480"/>
                </w:tabs>
                <w:spacing w:before="0"/>
                <w:rPr>
                  <w:color w:val="17365D" w:themeColor="text2" w:themeShade="BF"/>
                  <w:sz w:val="16"/>
                  <w:szCs w:val="16"/>
                </w:rPr>
              </w:pPr>
              <w:r>
                <w:rPr>
                  <w:color w:val="17365D" w:themeColor="text2" w:themeShade="BF"/>
                  <w:sz w:val="16"/>
                  <w:szCs w:val="16"/>
                </w:rPr>
                <w:tab/>
              </w:r>
              <w:bookmarkStart w:id="1" w:name="_Toc372811621"/>
              <w:r>
                <w:rPr>
                  <w:noProof/>
                  <w:color w:val="0000FF"/>
                </w:rPr>
                <w:drawing>
                  <wp:inline distT="0" distB="0" distL="0" distR="0" wp14:anchorId="27EF4EFB" wp14:editId="22B5C349">
                    <wp:extent cx="353695" cy="259080"/>
                    <wp:effectExtent l="19050" t="0" r="8255"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53695" cy="259080"/>
                            </a:xfrm>
                            <a:prstGeom prst="rect">
                              <a:avLst/>
                            </a:prstGeom>
                            <a:noFill/>
                            <a:ln w="9525">
                              <a:noFill/>
                              <a:miter lim="800000"/>
                              <a:headEnd/>
                              <a:tailEnd/>
                            </a:ln>
                          </pic:spPr>
                        </pic:pic>
                      </a:graphicData>
                    </a:graphic>
                  </wp:inline>
                </w:drawing>
              </w:r>
              <w:bookmarkEnd w:id="1"/>
              <w:r>
                <w:rPr>
                  <w:color w:val="17365D" w:themeColor="text2" w:themeShade="BF"/>
                  <w:sz w:val="16"/>
                  <w:szCs w:val="16"/>
                </w:rPr>
                <w:tab/>
              </w:r>
            </w:p>
            <w:p w:rsidR="00234C98" w:rsidRPr="0055719C" w:rsidRDefault="00234C98" w:rsidP="00234C98">
              <w:pPr>
                <w:pStyle w:val="Heading3"/>
                <w:tabs>
                  <w:tab w:val="left" w:pos="6480"/>
                </w:tabs>
                <w:spacing w:before="0"/>
                <w:rPr>
                  <w:color w:val="17365D" w:themeColor="text2" w:themeShade="BF"/>
                  <w:sz w:val="16"/>
                  <w:szCs w:val="16"/>
                </w:rPr>
              </w:pPr>
              <w:r>
                <w:rPr>
                  <w:color w:val="17365D" w:themeColor="text2" w:themeShade="BF"/>
                  <w:sz w:val="16"/>
                  <w:szCs w:val="16"/>
                </w:rPr>
                <w:tab/>
              </w:r>
              <w:bookmarkStart w:id="2" w:name="_Toc372811622"/>
              <w:r w:rsidRPr="0055719C">
                <w:rPr>
                  <w:color w:val="17365D" w:themeColor="text2" w:themeShade="BF"/>
                  <w:sz w:val="16"/>
                  <w:szCs w:val="16"/>
                </w:rPr>
                <w:t>CENTER FOR LABOR MARKET STUDIES</w:t>
              </w:r>
              <w:bookmarkEnd w:id="2"/>
            </w:p>
            <w:p w:rsidR="00234C98" w:rsidRDefault="00234C98" w:rsidP="00234C98">
              <w:pPr>
                <w:tabs>
                  <w:tab w:val="left" w:pos="2328"/>
                  <w:tab w:val="left" w:pos="6480"/>
                </w:tabs>
                <w:rPr>
                  <w:b/>
                  <w:bCs/>
                  <w:color w:val="365F91" w:themeColor="accent1" w:themeShade="BF"/>
                </w:rPr>
              </w:pPr>
              <w:r>
                <w:rPr>
                  <w:rFonts w:asciiTheme="majorHAnsi" w:hAnsiTheme="majorHAnsi"/>
                  <w:b/>
                  <w:color w:val="17365D" w:themeColor="text2" w:themeShade="BF"/>
                  <w:sz w:val="16"/>
                  <w:szCs w:val="16"/>
                </w:rPr>
                <w:tab/>
              </w:r>
              <w:r>
                <w:rPr>
                  <w:rFonts w:asciiTheme="majorHAnsi" w:hAnsiTheme="majorHAnsi"/>
                  <w:b/>
                  <w:color w:val="17365D" w:themeColor="text2" w:themeShade="BF"/>
                  <w:sz w:val="16"/>
                  <w:szCs w:val="16"/>
                </w:rPr>
                <w:tab/>
              </w:r>
              <w:r w:rsidRPr="0055719C">
                <w:rPr>
                  <w:rFonts w:asciiTheme="majorHAnsi" w:hAnsiTheme="majorHAnsi"/>
                  <w:b/>
                  <w:color w:val="17365D" w:themeColor="text2" w:themeShade="BF"/>
                  <w:sz w:val="16"/>
                  <w:szCs w:val="16"/>
                </w:rPr>
                <w:t>Northeastern University</w:t>
              </w:r>
              <w:r w:rsidRPr="0055719C">
                <w:rPr>
                  <w:color w:val="0000FF"/>
                  <w:sz w:val="16"/>
                  <w:szCs w:val="16"/>
                </w:rPr>
                <w:t xml:space="preserve"> </w:t>
              </w:r>
              <w:r w:rsidRPr="0055719C">
                <w:rPr>
                  <w:color w:val="666699"/>
                  <w:sz w:val="16"/>
                  <w:szCs w:val="16"/>
                </w:rPr>
                <w:tab/>
              </w:r>
            </w:p>
          </w:sdtContent>
        </w:sdt>
        <w:p w:rsidR="00873AA4" w:rsidRDefault="00873AA4" w:rsidP="00234C98">
          <w:pPr>
            <w:tabs>
              <w:tab w:val="left" w:pos="2328"/>
              <w:tab w:val="left" w:pos="6480"/>
            </w:tabs>
            <w:rPr>
              <w:b/>
              <w:bCs/>
              <w:color w:val="365F91" w:themeColor="accent1" w:themeShade="BF"/>
            </w:rPr>
          </w:pPr>
        </w:p>
        <w:p w:rsidR="00873AA4" w:rsidRDefault="00873AA4" w:rsidP="00234C98">
          <w:pPr>
            <w:tabs>
              <w:tab w:val="left" w:pos="2328"/>
              <w:tab w:val="left" w:pos="6480"/>
            </w:tabs>
            <w:rPr>
              <w:b/>
              <w:bCs/>
              <w:color w:val="365F91" w:themeColor="accent1" w:themeShade="BF"/>
            </w:rPr>
          </w:pPr>
        </w:p>
        <w:p w:rsidR="00873AA4" w:rsidRDefault="00873AA4" w:rsidP="00234C98">
          <w:pPr>
            <w:tabs>
              <w:tab w:val="left" w:pos="2328"/>
              <w:tab w:val="left" w:pos="6480"/>
            </w:tabs>
          </w:pPr>
        </w:p>
        <w:p w:rsidR="0037352B" w:rsidRPr="00873AA4" w:rsidRDefault="00873AA4" w:rsidP="00873AA4">
          <w:pPr>
            <w:spacing w:after="200" w:line="276" w:lineRule="auto"/>
            <w:jc w:val="center"/>
            <w:rPr>
              <w:rStyle w:val="Heading1Char"/>
              <w:i/>
              <w:color w:val="auto"/>
            </w:rPr>
          </w:pPr>
          <w:r w:rsidRPr="00873AA4">
            <w:rPr>
              <w:rStyle w:val="Heading1Char"/>
              <w:b w:val="0"/>
              <w:bCs w:val="0"/>
              <w:i/>
              <w:color w:val="auto"/>
            </w:rPr>
            <w:t>JAG Policy Paper No. 2</w:t>
          </w:r>
          <w:r w:rsidR="00234C98" w:rsidRPr="00873AA4">
            <w:rPr>
              <w:rStyle w:val="Heading1Char"/>
              <w:b w:val="0"/>
              <w:bCs w:val="0"/>
              <w:i/>
              <w:color w:val="auto"/>
            </w:rPr>
            <w:t xml:space="preserve"> </w:t>
          </w:r>
          <w:r w:rsidR="0037352B" w:rsidRPr="00873AA4">
            <w:rPr>
              <w:rStyle w:val="Heading1Char"/>
              <w:b w:val="0"/>
              <w:bCs w:val="0"/>
              <w:i/>
              <w:color w:val="auto"/>
            </w:rPr>
            <w:br w:type="page"/>
          </w:r>
        </w:p>
      </w:sdtContent>
    </w:sdt>
    <w:p w:rsidR="00994102" w:rsidRDefault="00994102" w:rsidP="00994102">
      <w:pPr>
        <w:jc w:val="right"/>
        <w:rPr>
          <w:rFonts w:ascii="Times New Roman" w:hAnsi="Times New Roman" w:cs="Times New Roman"/>
          <w:sz w:val="24"/>
          <w:szCs w:val="24"/>
        </w:rPr>
      </w:pPr>
      <w:r>
        <w:rPr>
          <w:rFonts w:ascii="Times New Roman" w:hAnsi="Times New Roman" w:cs="Times New Roman"/>
          <w:sz w:val="24"/>
          <w:szCs w:val="24"/>
        </w:rPr>
        <w:lastRenderedPageBreak/>
        <w:t>“The most serious of the evils that afflict the world t</w:t>
      </w:r>
      <w:r w:rsidR="0048556B">
        <w:rPr>
          <w:rFonts w:ascii="Times New Roman" w:hAnsi="Times New Roman" w:cs="Times New Roman"/>
          <w:sz w:val="24"/>
          <w:szCs w:val="24"/>
        </w:rPr>
        <w:t>oday</w:t>
      </w:r>
      <w:r>
        <w:rPr>
          <w:rFonts w:ascii="Times New Roman" w:hAnsi="Times New Roman" w:cs="Times New Roman"/>
          <w:sz w:val="24"/>
          <w:szCs w:val="24"/>
        </w:rPr>
        <w:t xml:space="preserve"> are youth unemployment and the loneliness of the old. The young need work and hope but </w:t>
      </w:r>
      <w:r w:rsidR="0048556B">
        <w:rPr>
          <w:rFonts w:ascii="Times New Roman" w:hAnsi="Times New Roman" w:cs="Times New Roman"/>
          <w:sz w:val="24"/>
          <w:szCs w:val="24"/>
        </w:rPr>
        <w:t xml:space="preserve">get </w:t>
      </w:r>
      <w:r>
        <w:rPr>
          <w:rFonts w:ascii="Times New Roman" w:hAnsi="Times New Roman" w:cs="Times New Roman"/>
          <w:sz w:val="24"/>
          <w:szCs w:val="24"/>
        </w:rPr>
        <w:t xml:space="preserve">neither one nor the other”. </w:t>
      </w:r>
    </w:p>
    <w:p w:rsidR="00994102" w:rsidRDefault="00994102" w:rsidP="00994102">
      <w:pPr>
        <w:jc w:val="right"/>
        <w:rPr>
          <w:rFonts w:ascii="Times New Roman" w:hAnsi="Times New Roman" w:cs="Times New Roman"/>
          <w:sz w:val="24"/>
          <w:szCs w:val="24"/>
        </w:rPr>
      </w:pPr>
      <w:r>
        <w:rPr>
          <w:rFonts w:ascii="Times New Roman" w:hAnsi="Times New Roman" w:cs="Times New Roman"/>
          <w:sz w:val="24"/>
          <w:szCs w:val="24"/>
        </w:rPr>
        <w:t>Pope Francis (2013)</w:t>
      </w:r>
      <w:r w:rsidR="003E5362">
        <w:rPr>
          <w:rFonts w:ascii="Times New Roman" w:hAnsi="Times New Roman" w:cs="Times New Roman"/>
          <w:sz w:val="24"/>
          <w:szCs w:val="24"/>
        </w:rPr>
        <w:t xml:space="preserve">, </w:t>
      </w:r>
      <w:r w:rsidR="003E5362">
        <w:rPr>
          <w:rFonts w:ascii="Times New Roman" w:hAnsi="Times New Roman" w:cs="Times New Roman"/>
          <w:sz w:val="24"/>
          <w:szCs w:val="24"/>
          <w:u w:val="single"/>
        </w:rPr>
        <w:t>LifeSiteNews.com</w:t>
      </w:r>
    </w:p>
    <w:p w:rsidR="00994102" w:rsidRDefault="00994102" w:rsidP="002873F9">
      <w:pPr>
        <w:jc w:val="right"/>
        <w:rPr>
          <w:rFonts w:ascii="Times New Roman" w:hAnsi="Times New Roman" w:cs="Times New Roman"/>
          <w:sz w:val="24"/>
          <w:szCs w:val="24"/>
        </w:rPr>
      </w:pPr>
    </w:p>
    <w:p w:rsidR="002873F9" w:rsidRDefault="00425F4D" w:rsidP="002873F9">
      <w:pPr>
        <w:jc w:val="right"/>
        <w:rPr>
          <w:rFonts w:ascii="Times New Roman" w:hAnsi="Times New Roman" w:cs="Times New Roman"/>
          <w:sz w:val="24"/>
          <w:szCs w:val="24"/>
        </w:rPr>
      </w:pPr>
      <w:r>
        <w:rPr>
          <w:rFonts w:ascii="Times New Roman" w:hAnsi="Times New Roman" w:cs="Times New Roman"/>
          <w:sz w:val="24"/>
          <w:szCs w:val="24"/>
        </w:rPr>
        <w:t xml:space="preserve">“The disconnection of youth from jobs and school has led to declines in the marriage rate, household formation, and homeownership. This is an American Tragedy and its dimensions are growing”. </w:t>
      </w:r>
    </w:p>
    <w:p w:rsidR="00994102" w:rsidRDefault="00425F4D" w:rsidP="002873F9">
      <w:pPr>
        <w:jc w:val="right"/>
        <w:rPr>
          <w:rFonts w:ascii="Times New Roman" w:hAnsi="Times New Roman" w:cs="Times New Roman"/>
          <w:sz w:val="24"/>
          <w:szCs w:val="24"/>
        </w:rPr>
      </w:pPr>
      <w:r>
        <w:rPr>
          <w:rFonts w:ascii="Times New Roman" w:hAnsi="Times New Roman" w:cs="Times New Roman"/>
          <w:sz w:val="24"/>
          <w:szCs w:val="24"/>
        </w:rPr>
        <w:t xml:space="preserve">Jeff Madrick, “The Real Lost Generation”, </w:t>
      </w:r>
      <w:r w:rsidR="0048556B" w:rsidRPr="003E5362">
        <w:rPr>
          <w:rFonts w:ascii="Times New Roman" w:hAnsi="Times New Roman" w:cs="Times New Roman"/>
          <w:sz w:val="24"/>
          <w:szCs w:val="24"/>
          <w:u w:val="single"/>
        </w:rPr>
        <w:t>Harpers</w:t>
      </w:r>
      <w:r w:rsidR="0048556B">
        <w:rPr>
          <w:rFonts w:ascii="Times New Roman" w:hAnsi="Times New Roman" w:cs="Times New Roman"/>
          <w:sz w:val="24"/>
          <w:szCs w:val="24"/>
        </w:rPr>
        <w:t xml:space="preserve">, </w:t>
      </w:r>
      <w:r>
        <w:rPr>
          <w:rFonts w:ascii="Times New Roman" w:hAnsi="Times New Roman" w:cs="Times New Roman"/>
          <w:sz w:val="24"/>
          <w:szCs w:val="24"/>
        </w:rPr>
        <w:t xml:space="preserve">2013. </w:t>
      </w:r>
    </w:p>
    <w:p w:rsidR="002873F9" w:rsidRDefault="002873F9" w:rsidP="002873F9">
      <w:pPr>
        <w:jc w:val="right"/>
        <w:rPr>
          <w:rFonts w:ascii="Times New Roman" w:hAnsi="Times New Roman" w:cs="Times New Roman"/>
          <w:sz w:val="24"/>
          <w:szCs w:val="24"/>
        </w:rPr>
      </w:pPr>
    </w:p>
    <w:p w:rsidR="00994102" w:rsidRDefault="002873F9" w:rsidP="002873F9">
      <w:pPr>
        <w:jc w:val="right"/>
        <w:rPr>
          <w:rFonts w:ascii="Times New Roman" w:hAnsi="Times New Roman" w:cs="Times New Roman"/>
          <w:sz w:val="24"/>
          <w:szCs w:val="24"/>
        </w:rPr>
      </w:pPr>
      <w:r>
        <w:rPr>
          <w:rFonts w:ascii="Times New Roman" w:hAnsi="Times New Roman" w:cs="Times New Roman"/>
          <w:sz w:val="24"/>
          <w:szCs w:val="24"/>
        </w:rPr>
        <w:t xml:space="preserve">“Employers frequently note that many young workers are unprepared. But it’s impossible for anyone to be prepared for a career if they can’t obtain their first jobs”. </w:t>
      </w:r>
    </w:p>
    <w:p w:rsidR="002873F9" w:rsidRDefault="002873F9" w:rsidP="002873F9">
      <w:pPr>
        <w:jc w:val="right"/>
        <w:rPr>
          <w:rFonts w:ascii="Times New Roman" w:hAnsi="Times New Roman" w:cs="Times New Roman"/>
          <w:sz w:val="24"/>
          <w:szCs w:val="24"/>
        </w:rPr>
      </w:pPr>
      <w:r>
        <w:rPr>
          <w:rFonts w:ascii="Times New Roman" w:hAnsi="Times New Roman" w:cs="Times New Roman"/>
          <w:sz w:val="24"/>
          <w:szCs w:val="24"/>
        </w:rPr>
        <w:t>Dan Geltbuch and Lew Finfer, Youth Job</w:t>
      </w:r>
      <w:r w:rsidR="0048556B">
        <w:rPr>
          <w:rFonts w:ascii="Times New Roman" w:hAnsi="Times New Roman" w:cs="Times New Roman"/>
          <w:sz w:val="24"/>
          <w:szCs w:val="24"/>
        </w:rPr>
        <w:t>s</w:t>
      </w:r>
      <w:r>
        <w:rPr>
          <w:rFonts w:ascii="Times New Roman" w:hAnsi="Times New Roman" w:cs="Times New Roman"/>
          <w:sz w:val="24"/>
          <w:szCs w:val="24"/>
        </w:rPr>
        <w:t xml:space="preserve"> Coalition</w:t>
      </w:r>
      <w:r w:rsidR="0048556B">
        <w:rPr>
          <w:rFonts w:ascii="Times New Roman" w:hAnsi="Times New Roman" w:cs="Times New Roman"/>
          <w:sz w:val="24"/>
          <w:szCs w:val="24"/>
        </w:rPr>
        <w:t xml:space="preserve">, </w:t>
      </w:r>
      <w:r w:rsidR="0048556B" w:rsidRPr="003E5362">
        <w:rPr>
          <w:rFonts w:ascii="Times New Roman" w:hAnsi="Times New Roman" w:cs="Times New Roman"/>
          <w:sz w:val="24"/>
          <w:szCs w:val="24"/>
          <w:u w:val="single"/>
        </w:rPr>
        <w:t>Boston Globe</w:t>
      </w:r>
      <w:r>
        <w:rPr>
          <w:rFonts w:ascii="Times New Roman" w:hAnsi="Times New Roman" w:cs="Times New Roman"/>
          <w:sz w:val="24"/>
          <w:szCs w:val="24"/>
        </w:rPr>
        <w:t xml:space="preserve"> (2013). </w:t>
      </w:r>
    </w:p>
    <w:p w:rsidR="008904F7" w:rsidRDefault="008904F7" w:rsidP="002873F9">
      <w:pPr>
        <w:jc w:val="right"/>
        <w:rPr>
          <w:rFonts w:ascii="Times New Roman" w:hAnsi="Times New Roman" w:cs="Times New Roman"/>
          <w:sz w:val="24"/>
          <w:szCs w:val="24"/>
        </w:rPr>
      </w:pPr>
    </w:p>
    <w:p w:rsidR="00901178" w:rsidRDefault="00901178" w:rsidP="00901178">
      <w:pPr>
        <w:pStyle w:val="Heading1"/>
      </w:pPr>
      <w:r w:rsidRPr="003E4FB8">
        <w:t>Introduction</w:t>
      </w:r>
    </w:p>
    <w:p w:rsidR="006E044A" w:rsidRPr="006E044A" w:rsidRDefault="006E044A" w:rsidP="006E044A"/>
    <w:p w:rsidR="00901178" w:rsidRDefault="00901178" w:rsidP="00901178">
      <w:pPr>
        <w:spacing w:after="120" w:line="360" w:lineRule="auto"/>
        <w:ind w:firstLine="720"/>
        <w:jc w:val="both"/>
        <w:rPr>
          <w:rFonts w:ascii="Times New Roman" w:hAnsi="Times New Roman" w:cs="Times New Roman"/>
          <w:sz w:val="24"/>
          <w:szCs w:val="24"/>
        </w:rPr>
      </w:pPr>
      <w:r w:rsidRPr="003E4FB8">
        <w:rPr>
          <w:rFonts w:ascii="Times New Roman" w:hAnsi="Times New Roman" w:cs="Times New Roman"/>
          <w:sz w:val="24"/>
          <w:szCs w:val="24"/>
        </w:rPr>
        <w:t xml:space="preserve">The past decade in the United States (2000-2010) has been referred to by a number of economists and other social scientists as a </w:t>
      </w:r>
      <w:r w:rsidR="00905281" w:rsidRPr="003E4FB8">
        <w:rPr>
          <w:rFonts w:ascii="Times New Roman" w:hAnsi="Times New Roman" w:cs="Times New Roman"/>
          <w:sz w:val="24"/>
          <w:szCs w:val="24"/>
        </w:rPr>
        <w:t>“lost</w:t>
      </w:r>
      <w:r w:rsidRPr="003E4FB8">
        <w:rPr>
          <w:rFonts w:ascii="Times New Roman" w:hAnsi="Times New Roman" w:cs="Times New Roman"/>
          <w:sz w:val="24"/>
          <w:szCs w:val="24"/>
        </w:rPr>
        <w:t xml:space="preserve"> decade”.</w:t>
      </w:r>
      <w:r w:rsidRPr="003E4FB8">
        <w:rPr>
          <w:rStyle w:val="FootnoteReference"/>
          <w:rFonts w:ascii="Times New Roman" w:hAnsi="Times New Roman" w:cs="Times New Roman"/>
          <w:sz w:val="24"/>
          <w:szCs w:val="24"/>
        </w:rPr>
        <w:footnoteReference w:id="1"/>
      </w:r>
      <w:r w:rsidRPr="003E4FB8">
        <w:rPr>
          <w:rFonts w:ascii="Times New Roman" w:hAnsi="Times New Roman" w:cs="Times New Roman"/>
          <w:sz w:val="24"/>
          <w:szCs w:val="24"/>
        </w:rPr>
        <w:t xml:space="preserve"> The total number </w:t>
      </w:r>
      <w:r w:rsidR="00905281" w:rsidRPr="003E4FB8">
        <w:rPr>
          <w:rFonts w:ascii="Times New Roman" w:hAnsi="Times New Roman" w:cs="Times New Roman"/>
          <w:sz w:val="24"/>
          <w:szCs w:val="24"/>
        </w:rPr>
        <w:t>of wage</w:t>
      </w:r>
      <w:r w:rsidRPr="003E4FB8">
        <w:rPr>
          <w:rFonts w:ascii="Times New Roman" w:hAnsi="Times New Roman" w:cs="Times New Roman"/>
          <w:sz w:val="24"/>
          <w:szCs w:val="24"/>
        </w:rPr>
        <w:t xml:space="preserve"> and salary payroll jobs  in the private and public sectors combined in the nation in 2010 was lower than it was in 2000.  This compares to gains of 19 million and 22 million jobs, respectively, in the prior two decades, Both </w:t>
      </w:r>
      <w:r w:rsidR="00905281" w:rsidRPr="003E4FB8">
        <w:rPr>
          <w:rFonts w:ascii="Times New Roman" w:hAnsi="Times New Roman" w:cs="Times New Roman"/>
          <w:sz w:val="24"/>
          <w:szCs w:val="24"/>
        </w:rPr>
        <w:t>median real</w:t>
      </w:r>
      <w:r w:rsidRPr="003E4FB8">
        <w:rPr>
          <w:rFonts w:ascii="Times New Roman" w:hAnsi="Times New Roman" w:cs="Times New Roman"/>
          <w:sz w:val="24"/>
          <w:szCs w:val="24"/>
        </w:rPr>
        <w:t xml:space="preserve"> household and family income in the nation failed to register any increase over the decade and income inequality tended to worsen.      </w:t>
      </w:r>
    </w:p>
    <w:p w:rsidR="00901178" w:rsidRDefault="00901178" w:rsidP="00901178">
      <w:pPr>
        <w:spacing w:after="120" w:line="360" w:lineRule="auto"/>
        <w:ind w:firstLine="720"/>
        <w:jc w:val="both"/>
        <w:rPr>
          <w:rFonts w:ascii="Times New Roman" w:hAnsi="Times New Roman" w:cs="Times New Roman"/>
          <w:sz w:val="24"/>
          <w:szCs w:val="24"/>
        </w:rPr>
      </w:pPr>
      <w:r w:rsidRPr="003E4FB8">
        <w:rPr>
          <w:rFonts w:ascii="Times New Roman" w:hAnsi="Times New Roman" w:cs="Times New Roman"/>
          <w:sz w:val="24"/>
          <w:szCs w:val="24"/>
        </w:rPr>
        <w:t xml:space="preserve">Employment opportunities for working-age Americans (16 and older) varied considerably across age groups over this time period. This phenomenon has been referred to by the authors in several previous papers as the Great Age Twist in Employment Rates. </w:t>
      </w:r>
      <w:r w:rsidRPr="003E4FB8">
        <w:rPr>
          <w:rStyle w:val="FootnoteReference"/>
          <w:rFonts w:ascii="Times New Roman" w:hAnsi="Times New Roman" w:cs="Times New Roman"/>
          <w:sz w:val="24"/>
          <w:szCs w:val="24"/>
        </w:rPr>
        <w:footnoteReference w:id="2"/>
      </w:r>
      <w:r w:rsidRPr="003E4FB8">
        <w:rPr>
          <w:rFonts w:ascii="Times New Roman" w:hAnsi="Times New Roman" w:cs="Times New Roman"/>
          <w:sz w:val="24"/>
          <w:szCs w:val="24"/>
        </w:rPr>
        <w:t xml:space="preserve"> It is a truly unique </w:t>
      </w:r>
      <w:r w:rsidR="00905281" w:rsidRPr="003E4FB8">
        <w:rPr>
          <w:rFonts w:ascii="Times New Roman" w:hAnsi="Times New Roman" w:cs="Times New Roman"/>
          <w:sz w:val="24"/>
          <w:szCs w:val="24"/>
        </w:rPr>
        <w:t>historical labor</w:t>
      </w:r>
      <w:r w:rsidRPr="003E4FB8">
        <w:rPr>
          <w:rFonts w:ascii="Times New Roman" w:hAnsi="Times New Roman" w:cs="Times New Roman"/>
          <w:sz w:val="24"/>
          <w:szCs w:val="24"/>
        </w:rPr>
        <w:t xml:space="preserve"> market phenomenon for the United States. Over the 1999-2000 to 2010-2011 time period, the employment rates of working age Americans in each single age group under 57 years of age declined while those of adults 57 and older increased. The percentage point sizes of these reductions in employment rates tended to rise as the age of the potential worker declined, being highest by far for  teens(16-19) and then young adults 20-24 years of age. </w:t>
      </w:r>
      <w:r w:rsidRPr="003E4FB8">
        <w:rPr>
          <w:rFonts w:ascii="Times New Roman" w:hAnsi="Times New Roman" w:cs="Times New Roman"/>
          <w:sz w:val="24"/>
          <w:szCs w:val="24"/>
        </w:rPr>
        <w:lastRenderedPageBreak/>
        <w:t xml:space="preserve">This paper is devoted to an analysis of changes in the employment rates of U.S. teens (16-19) over the 2000-2012 time period. The paper also will examine variations in these teen employment rates across age, gender, race-ethnic and family income groups. Findings on teen employment rates in the US over the 2000-2012 time period will be compared to those of their counterparts in 30 other OECD countries. Results will be provided for all teens and for men and women separately. Changes in the U.S. rankings of teen employment </w:t>
      </w:r>
      <w:r w:rsidR="00905281" w:rsidRPr="003E4FB8">
        <w:rPr>
          <w:rFonts w:ascii="Times New Roman" w:hAnsi="Times New Roman" w:cs="Times New Roman"/>
          <w:sz w:val="24"/>
          <w:szCs w:val="24"/>
        </w:rPr>
        <w:t>rates across</w:t>
      </w:r>
      <w:r w:rsidRPr="003E4FB8">
        <w:rPr>
          <w:rFonts w:ascii="Times New Roman" w:hAnsi="Times New Roman" w:cs="Times New Roman"/>
          <w:sz w:val="24"/>
          <w:szCs w:val="24"/>
        </w:rPr>
        <w:t xml:space="preserve"> these OECD countries over the 2000-2012 period also will be presented.</w:t>
      </w:r>
    </w:p>
    <w:p w:rsidR="00901178" w:rsidRDefault="00901178" w:rsidP="00901178">
      <w:pPr>
        <w:spacing w:after="120" w:line="360" w:lineRule="auto"/>
        <w:ind w:firstLine="720"/>
        <w:jc w:val="both"/>
        <w:rPr>
          <w:rFonts w:ascii="Times New Roman" w:hAnsi="Times New Roman" w:cs="Times New Roman"/>
          <w:sz w:val="24"/>
          <w:szCs w:val="24"/>
        </w:rPr>
      </w:pPr>
      <w:r w:rsidRPr="003E4FB8">
        <w:rPr>
          <w:rFonts w:ascii="Times New Roman" w:hAnsi="Times New Roman" w:cs="Times New Roman"/>
          <w:sz w:val="24"/>
          <w:szCs w:val="24"/>
        </w:rPr>
        <w:t>A following section of this paper is devoted to changes in the employment rates of young adults (20-24) in the U.S. and these other OECD countries over the same 2000-2012 time period.    Findings again will be displayed for all young adults in the U.S. and for men and women separately. To illustrate the importance of early teen employment</w:t>
      </w:r>
      <w:r w:rsidR="00905281" w:rsidRPr="003E4FB8">
        <w:rPr>
          <w:rFonts w:ascii="Times New Roman" w:hAnsi="Times New Roman" w:cs="Times New Roman"/>
          <w:sz w:val="24"/>
          <w:szCs w:val="24"/>
        </w:rPr>
        <w:t>, findings</w:t>
      </w:r>
      <w:r w:rsidRPr="003E4FB8">
        <w:rPr>
          <w:rFonts w:ascii="Times New Roman" w:hAnsi="Times New Roman" w:cs="Times New Roman"/>
          <w:sz w:val="24"/>
          <w:szCs w:val="24"/>
        </w:rPr>
        <w:t xml:space="preserve"> of a multiple regression analysis of the 2012 employment rates of young adults in 34 OECD countries and those of Russia and South Africa will be presented. The predictor variables in this model of young adult employment include their teen employment rate five years earlier (2007) and the aggregate rate of unemployment in their nation in 2012.           </w:t>
      </w:r>
    </w:p>
    <w:p w:rsidR="00921DE1" w:rsidRDefault="00921DE1" w:rsidP="00921DE1">
      <w:pPr>
        <w:pStyle w:val="Heading1"/>
      </w:pPr>
      <w:r w:rsidRPr="001726D7">
        <w:t>Defining and Measuring Employment/Population Ratios of Teens</w:t>
      </w:r>
    </w:p>
    <w:p w:rsidR="00921DE1" w:rsidRPr="00921DE1" w:rsidRDefault="00921DE1" w:rsidP="00921DE1"/>
    <w:p w:rsidR="00921DE1" w:rsidRDefault="00921DE1" w:rsidP="00921DE1">
      <w:pPr>
        <w:spacing w:after="120" w:line="360" w:lineRule="auto"/>
        <w:ind w:firstLine="720"/>
        <w:jc w:val="both"/>
        <w:rPr>
          <w:rFonts w:ascii="Times New Roman" w:hAnsi="Times New Roman" w:cs="Times New Roman"/>
          <w:sz w:val="24"/>
          <w:szCs w:val="24"/>
        </w:rPr>
      </w:pPr>
      <w:r w:rsidRPr="001726D7">
        <w:rPr>
          <w:rFonts w:ascii="Times New Roman" w:hAnsi="Times New Roman" w:cs="Times New Roman"/>
          <w:sz w:val="24"/>
          <w:szCs w:val="24"/>
        </w:rPr>
        <w:t xml:space="preserve">The measure of the employment status of teens in the U.S. and other OECD nations appearing in this report is the </w:t>
      </w:r>
      <w:r w:rsidRPr="001726D7">
        <w:rPr>
          <w:rFonts w:ascii="Times New Roman" w:hAnsi="Times New Roman" w:cs="Times New Roman"/>
          <w:sz w:val="24"/>
          <w:szCs w:val="24"/>
          <w:u w:val="single"/>
        </w:rPr>
        <w:t>employment/population ratio</w:t>
      </w:r>
      <w:r w:rsidRPr="001726D7">
        <w:rPr>
          <w:rFonts w:ascii="Times New Roman" w:hAnsi="Times New Roman" w:cs="Times New Roman"/>
          <w:sz w:val="24"/>
          <w:szCs w:val="24"/>
        </w:rPr>
        <w:t xml:space="preserve"> often referred to in the labor market literature as the E/P ratio.</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system used by the U.S. Bureau of Labor Statistics </w:t>
      </w:r>
      <w:r w:rsidR="001C23AA">
        <w:rPr>
          <w:rFonts w:ascii="Times New Roman" w:hAnsi="Times New Roman" w:cs="Times New Roman"/>
          <w:sz w:val="24"/>
          <w:szCs w:val="24"/>
        </w:rPr>
        <w:t xml:space="preserve">to </w:t>
      </w:r>
      <w:r>
        <w:rPr>
          <w:rFonts w:ascii="Times New Roman" w:hAnsi="Times New Roman" w:cs="Times New Roman"/>
          <w:sz w:val="24"/>
          <w:szCs w:val="24"/>
        </w:rPr>
        <w:t>classify the labor force activity status of individuals in the working age population (16 and older) is displayed in Chart 1 below. The labor force survey is focused on members of the civilian, non-institutional, working age population (P). The universe excludes those individuals serving in the nation’s armed force</w:t>
      </w:r>
      <w:r w:rsidR="001C23AA">
        <w:rPr>
          <w:rFonts w:ascii="Times New Roman" w:hAnsi="Times New Roman" w:cs="Times New Roman"/>
          <w:sz w:val="24"/>
          <w:szCs w:val="24"/>
        </w:rPr>
        <w:t>s</w:t>
      </w:r>
      <w:r>
        <w:rPr>
          <w:rFonts w:ascii="Times New Roman" w:hAnsi="Times New Roman" w:cs="Times New Roman"/>
          <w:sz w:val="24"/>
          <w:szCs w:val="24"/>
        </w:rPr>
        <w:t xml:space="preserve">, those residing in institutions such as jails, prisons, nursing homes, and long stay hospitals, and the homeless including those living in temporary shelters. </w:t>
      </w:r>
    </w:p>
    <w:p w:rsidR="004F6052" w:rsidRDefault="004F6052" w:rsidP="004F6052">
      <w:pPr>
        <w:spacing w:after="120" w:line="360" w:lineRule="auto"/>
        <w:ind w:firstLine="720"/>
        <w:jc w:val="both"/>
        <w:rPr>
          <w:rFonts w:ascii="Times New Roman" w:hAnsi="Times New Roman" w:cs="Times New Roman"/>
          <w:sz w:val="24"/>
          <w:szCs w:val="24"/>
        </w:rPr>
      </w:pPr>
      <w:r w:rsidRPr="00773822">
        <w:rPr>
          <w:rFonts w:ascii="Times New Roman" w:hAnsi="Times New Roman" w:cs="Times New Roman"/>
          <w:sz w:val="24"/>
          <w:szCs w:val="24"/>
        </w:rPr>
        <w:t>Each working age respondent is asked a series of questions on their recent employment experiences, their job</w:t>
      </w:r>
      <w:r>
        <w:rPr>
          <w:rFonts w:ascii="Times New Roman" w:hAnsi="Times New Roman" w:cs="Times New Roman"/>
          <w:sz w:val="24"/>
          <w:szCs w:val="24"/>
        </w:rPr>
        <w:t>-</w:t>
      </w:r>
      <w:r w:rsidRPr="00773822">
        <w:rPr>
          <w:rFonts w:ascii="Times New Roman" w:hAnsi="Times New Roman" w:cs="Times New Roman"/>
          <w:sz w:val="24"/>
          <w:szCs w:val="24"/>
        </w:rPr>
        <w:t xml:space="preserve">seeking activity, and their availability for work if actively looking. </w:t>
      </w:r>
      <w:r w:rsidRPr="00773822">
        <w:rPr>
          <w:rFonts w:ascii="Times New Roman" w:hAnsi="Times New Roman" w:cs="Times New Roman"/>
          <w:sz w:val="24"/>
          <w:szCs w:val="24"/>
          <w:u w:val="single"/>
        </w:rPr>
        <w:t>Employed persons</w:t>
      </w:r>
      <w:r w:rsidRPr="00773822">
        <w:rPr>
          <w:rFonts w:ascii="Times New Roman" w:hAnsi="Times New Roman" w:cs="Times New Roman"/>
          <w:sz w:val="24"/>
          <w:szCs w:val="24"/>
        </w:rPr>
        <w:t xml:space="preserve"> are those individuals who worked for one hour or more for pay or profit in the </w:t>
      </w:r>
      <w:r w:rsidRPr="00773822">
        <w:rPr>
          <w:rFonts w:ascii="Times New Roman" w:hAnsi="Times New Roman" w:cs="Times New Roman"/>
          <w:sz w:val="24"/>
          <w:szCs w:val="24"/>
        </w:rPr>
        <w:lastRenderedPageBreak/>
        <w:t>reference week, or were temporarily absent from a job due to illness, vacation or the weather, or held an unpaid job for 15 or more hours in a family owned firm</w:t>
      </w:r>
      <w:r w:rsidRPr="001C23AA">
        <w:rPr>
          <w:rFonts w:ascii="Times New Roman" w:hAnsi="Times New Roman" w:cs="Times New Roman"/>
          <w:sz w:val="24"/>
          <w:szCs w:val="24"/>
        </w:rPr>
        <w:t xml:space="preserve">. </w:t>
      </w:r>
      <w:r w:rsidRPr="00773822">
        <w:rPr>
          <w:rFonts w:ascii="Times New Roman" w:hAnsi="Times New Roman" w:cs="Times New Roman"/>
          <w:sz w:val="24"/>
          <w:szCs w:val="24"/>
        </w:rPr>
        <w:t xml:space="preserve">The </w:t>
      </w:r>
      <w:r w:rsidRPr="00773822">
        <w:rPr>
          <w:rFonts w:ascii="Times New Roman" w:hAnsi="Times New Roman" w:cs="Times New Roman"/>
          <w:sz w:val="24"/>
          <w:szCs w:val="24"/>
          <w:u w:val="single"/>
        </w:rPr>
        <w:t>unemployed</w:t>
      </w:r>
      <w:r w:rsidRPr="00773822">
        <w:rPr>
          <w:rFonts w:ascii="Times New Roman" w:hAnsi="Times New Roman" w:cs="Times New Roman"/>
          <w:sz w:val="24"/>
          <w:szCs w:val="24"/>
        </w:rPr>
        <w:t xml:space="preserve"> are those who were not employed in the reference week, had actively looked for a job in the previous four weeks, and were available to take a job if one were offered to them. Those respondents who could not meet the criteria for being employed or unemployed are classified as out</w:t>
      </w:r>
      <w:r w:rsidRPr="00773822">
        <w:rPr>
          <w:rFonts w:ascii="Times New Roman" w:hAnsi="Times New Roman" w:cs="Times New Roman"/>
          <w:sz w:val="24"/>
          <w:szCs w:val="24"/>
          <w:u w:val="single"/>
        </w:rPr>
        <w:t xml:space="preserve"> of the labor force.</w:t>
      </w:r>
      <w:r w:rsidRPr="004F6052">
        <w:rPr>
          <w:rFonts w:ascii="Times New Roman" w:hAnsi="Times New Roman" w:cs="Times New Roman"/>
          <w:sz w:val="24"/>
          <w:szCs w:val="24"/>
        </w:rPr>
        <w:t xml:space="preserve">  </w:t>
      </w:r>
      <w:r w:rsidRPr="00773822">
        <w:rPr>
          <w:rFonts w:ascii="Times New Roman" w:hAnsi="Times New Roman" w:cs="Times New Roman"/>
          <w:sz w:val="24"/>
          <w:szCs w:val="24"/>
        </w:rPr>
        <w:t xml:space="preserve">A subset of these individuals do indicate to the survey interviewer that they did wish to be working at that time.    </w:t>
      </w:r>
    </w:p>
    <w:p w:rsidR="007E3619" w:rsidRPr="005710AE" w:rsidRDefault="007E3619" w:rsidP="007E3619">
      <w:pPr>
        <w:jc w:val="center"/>
        <w:rPr>
          <w:rFonts w:ascii="Times New Roman" w:hAnsi="Times New Roman" w:cs="Times New Roman"/>
          <w:sz w:val="24"/>
          <w:szCs w:val="24"/>
          <w:u w:val="single"/>
        </w:rPr>
      </w:pPr>
      <w:r w:rsidRPr="005710AE">
        <w:rPr>
          <w:rFonts w:ascii="Times New Roman" w:hAnsi="Times New Roman" w:cs="Times New Roman"/>
          <w:sz w:val="24"/>
          <w:szCs w:val="24"/>
          <w:u w:val="single"/>
        </w:rPr>
        <w:t>Chart 1:</w:t>
      </w:r>
    </w:p>
    <w:p w:rsidR="007E3619" w:rsidRDefault="007E3619" w:rsidP="007E3619">
      <w:pPr>
        <w:jc w:val="center"/>
        <w:rPr>
          <w:rFonts w:ascii="Times New Roman" w:hAnsi="Times New Roman" w:cs="Times New Roman"/>
          <w:sz w:val="20"/>
          <w:szCs w:val="20"/>
        </w:rPr>
      </w:pPr>
      <w:r w:rsidRPr="005710AE">
        <w:rPr>
          <w:rFonts w:ascii="Times New Roman" w:hAnsi="Times New Roman" w:cs="Times New Roman"/>
          <w:sz w:val="24"/>
          <w:szCs w:val="24"/>
          <w:u w:val="single"/>
        </w:rPr>
        <w:t>The Labor Force Classification System in the U.S.</w: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E619808" wp14:editId="511219A9">
                <wp:simplePos x="0" y="0"/>
                <wp:positionH relativeFrom="column">
                  <wp:posOffset>3933825</wp:posOffset>
                </wp:positionH>
                <wp:positionV relativeFrom="paragraph">
                  <wp:posOffset>979805</wp:posOffset>
                </wp:positionV>
                <wp:extent cx="1104900" cy="150495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1104900" cy="1504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09.75pt;margin-top:77.15pt;width:87pt;height:1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" strokecolor="black [3040]">
                <v:stroke endarrow="ope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E6F4F6C" wp14:editId="4F46B2B5">
                <wp:simplePos x="0" y="0"/>
                <wp:positionH relativeFrom="column">
                  <wp:posOffset>638175</wp:posOffset>
                </wp:positionH>
                <wp:positionV relativeFrom="paragraph">
                  <wp:posOffset>979805</wp:posOffset>
                </wp:positionV>
                <wp:extent cx="742950" cy="15049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742950" cy="1504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50.25pt;margin-top:77.15pt;width:58.5pt;height:11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" strokecolor="black [3040]">
                <v:stroke endarrow="ope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6642A6BD" wp14:editId="26038A76">
                <wp:simplePos x="0" y="0"/>
                <wp:positionH relativeFrom="column">
                  <wp:posOffset>4286250</wp:posOffset>
                </wp:positionH>
                <wp:positionV relativeFrom="paragraph">
                  <wp:posOffset>2552700</wp:posOffset>
                </wp:positionV>
                <wp:extent cx="1400175" cy="438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00175" cy="4381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Out of Labor Force</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337.5pt;margin-top:201pt;width:110.2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" fillcolor="white [3201]" strokecolor="black [3200]" strokeweight=".25pt">
                <v:textbo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Out of Labor Force</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(OLF)</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0E3969F" wp14:editId="66165615">
                <wp:simplePos x="0" y="0"/>
                <wp:positionH relativeFrom="column">
                  <wp:posOffset>1924050</wp:posOffset>
                </wp:positionH>
                <wp:positionV relativeFrom="paragraph">
                  <wp:posOffset>2486025</wp:posOffset>
                </wp:positionV>
                <wp:extent cx="1247775" cy="504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47775" cy="5048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Unemployed</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style="position:absolute;left:0;text-align:left;margin-left:151.5pt;margin-top:195.75pt;width:98.2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" fillcolor="white [3201]" strokecolor="black [3200]" strokeweight=".25pt">
                <v:textbo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Unemployed</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(U)</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1F15B4B" wp14:editId="234802CC">
                <wp:simplePos x="0" y="0"/>
                <wp:positionH relativeFrom="column">
                  <wp:posOffset>-47625</wp:posOffset>
                </wp:positionH>
                <wp:positionV relativeFrom="paragraph">
                  <wp:posOffset>2552700</wp:posOffset>
                </wp:positionV>
                <wp:extent cx="1504950" cy="438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04950" cy="4381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 xml:space="preserve">Employed </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8" style="position:absolute;left:0;text-align:left;margin-left:-3.75pt;margin-top:201pt;width:118.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" fillcolor="white [3201]" strokecolor="black [3200]" strokeweight=".25pt">
                <v:textbo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 xml:space="preserve">Employed </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(E)</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1CA00895" wp14:editId="4275F6A6">
                <wp:simplePos x="0" y="0"/>
                <wp:positionH relativeFrom="column">
                  <wp:posOffset>1381125</wp:posOffset>
                </wp:positionH>
                <wp:positionV relativeFrom="paragraph">
                  <wp:posOffset>276225</wp:posOffset>
                </wp:positionV>
                <wp:extent cx="255270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552700" cy="647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 xml:space="preserve">Civilian Non-Institutional Population </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08.75pt;margin-top:21.75pt;width:201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" fillcolor="white [3201]" strokecolor="black [3200]" strokeweight=".25pt">
                <v:textbox>
                  <w:txbxContent>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 xml:space="preserve">Civilian Non-Institutional Population </w:t>
                      </w:r>
                    </w:p>
                    <w:p w:rsidR="007E3619" w:rsidRPr="005710AE" w:rsidRDefault="007E3619" w:rsidP="007E3619">
                      <w:pPr>
                        <w:jc w:val="center"/>
                        <w:rPr>
                          <w:rFonts w:ascii="Times New Roman" w:hAnsi="Times New Roman" w:cs="Times New Roman"/>
                          <w:sz w:val="24"/>
                          <w:szCs w:val="24"/>
                        </w:rPr>
                      </w:pPr>
                      <w:r w:rsidRPr="005710AE">
                        <w:rPr>
                          <w:rFonts w:ascii="Times New Roman" w:hAnsi="Times New Roman" w:cs="Times New Roman"/>
                          <w:sz w:val="24"/>
                          <w:szCs w:val="24"/>
                        </w:rPr>
                        <w:t>(P)</w:t>
                      </w:r>
                    </w:p>
                  </w:txbxContent>
                </v:textbox>
              </v:rect>
            </w:pict>
          </mc:Fallback>
        </mc:AlternateContent>
      </w: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012F2A" w:rsidP="007E3619">
      <w:pPr>
        <w:spacing w:before="120"/>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C2B38C9" wp14:editId="712E3B6D">
                <wp:simplePos x="0" y="0"/>
                <wp:positionH relativeFrom="column">
                  <wp:posOffset>2609850</wp:posOffset>
                </wp:positionH>
                <wp:positionV relativeFrom="paragraph">
                  <wp:posOffset>133350</wp:posOffset>
                </wp:positionV>
                <wp:extent cx="0" cy="14478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44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05.5pt;margin-top:10.5pt;width:0;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" strokecolor="black [3040]">
                <v:stroke endarrow="open"/>
              </v:shape>
            </w:pict>
          </mc:Fallback>
        </mc:AlternateContent>
      </w: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Default="007E3619" w:rsidP="007E3619">
      <w:pPr>
        <w:spacing w:before="120"/>
        <w:jc w:val="center"/>
        <w:rPr>
          <w:rFonts w:ascii="Times New Roman" w:hAnsi="Times New Roman" w:cs="Times New Roman"/>
          <w:sz w:val="20"/>
          <w:szCs w:val="20"/>
        </w:rPr>
      </w:pPr>
    </w:p>
    <w:p w:rsidR="007E3619" w:rsidRPr="005710AE" w:rsidRDefault="007E3619" w:rsidP="007E3619">
      <w:pPr>
        <w:spacing w:before="120"/>
        <w:jc w:val="center"/>
        <w:rPr>
          <w:rFonts w:ascii="Times New Roman" w:hAnsi="Times New Roman" w:cs="Times New Roman"/>
          <w:sz w:val="24"/>
          <w:szCs w:val="24"/>
        </w:rPr>
      </w:pPr>
      <w:r w:rsidRPr="005710AE">
        <w:rPr>
          <w:rFonts w:ascii="Times New Roman" w:hAnsi="Times New Roman" w:cs="Times New Roman"/>
          <w:sz w:val="24"/>
          <w:szCs w:val="24"/>
        </w:rPr>
        <w:t>Employment/Population Ratio =</w:t>
      </w:r>
      <w:r>
        <w:rPr>
          <w:rFonts w:ascii="Times New Roman" w:hAnsi="Times New Roman" w:cs="Times New Roman"/>
          <w:sz w:val="24"/>
          <w:szCs w:val="24"/>
        </w:rPr>
        <w:t xml:space="preserve">  </w:t>
      </w:r>
      <w:r w:rsidRPr="005710AE">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E</m:t>
            </m:r>
          </m:num>
          <m:den>
            <m:r>
              <w:rPr>
                <w:rFonts w:ascii="Cambria Math" w:hAnsi="Cambria Math" w:cs="Times New Roman"/>
                <w:sz w:val="32"/>
                <w:szCs w:val="32"/>
              </w:rPr>
              <m:t>P</m:t>
            </m:r>
          </m:den>
        </m:f>
      </m:oMath>
    </w:p>
    <w:p w:rsidR="007E3619" w:rsidRPr="00773822" w:rsidRDefault="007E3619" w:rsidP="004F6052">
      <w:pPr>
        <w:spacing w:after="120" w:line="360" w:lineRule="auto"/>
        <w:ind w:firstLine="720"/>
        <w:jc w:val="both"/>
        <w:rPr>
          <w:rFonts w:ascii="Times New Roman" w:hAnsi="Times New Roman" w:cs="Times New Roman"/>
          <w:sz w:val="24"/>
          <w:szCs w:val="24"/>
        </w:rPr>
      </w:pPr>
    </w:p>
    <w:p w:rsidR="00921DE1" w:rsidRPr="003E4FB8" w:rsidRDefault="004F6052" w:rsidP="007E3619">
      <w:pPr>
        <w:spacing w:after="120" w:line="360" w:lineRule="auto"/>
        <w:ind w:firstLine="720"/>
        <w:jc w:val="both"/>
        <w:rPr>
          <w:rFonts w:ascii="Times New Roman" w:hAnsi="Times New Roman" w:cs="Times New Roman"/>
          <w:sz w:val="24"/>
          <w:szCs w:val="24"/>
        </w:rPr>
      </w:pPr>
      <w:r w:rsidRPr="00773822">
        <w:rPr>
          <w:rFonts w:ascii="Times New Roman" w:hAnsi="Times New Roman" w:cs="Times New Roman"/>
          <w:sz w:val="24"/>
          <w:szCs w:val="24"/>
        </w:rPr>
        <w:t xml:space="preserve">The value of the </w:t>
      </w:r>
      <w:r w:rsidRPr="00773822">
        <w:rPr>
          <w:rFonts w:ascii="Times New Roman" w:hAnsi="Times New Roman" w:cs="Times New Roman"/>
          <w:sz w:val="24"/>
          <w:szCs w:val="24"/>
          <w:u w:val="single"/>
        </w:rPr>
        <w:t>employment/population ratio</w:t>
      </w:r>
      <w:r w:rsidRPr="00773822">
        <w:rPr>
          <w:rFonts w:ascii="Times New Roman" w:hAnsi="Times New Roman" w:cs="Times New Roman"/>
          <w:sz w:val="24"/>
          <w:szCs w:val="24"/>
        </w:rPr>
        <w:t xml:space="preserve"> for any given population group is   calculated by dividing the number of employed persons (E) by the number of such persons in the civilian, non</w:t>
      </w:r>
      <w:r>
        <w:rPr>
          <w:rFonts w:ascii="Times New Roman" w:hAnsi="Times New Roman" w:cs="Times New Roman"/>
          <w:sz w:val="24"/>
          <w:szCs w:val="24"/>
        </w:rPr>
        <w:t>-</w:t>
      </w:r>
      <w:r w:rsidRPr="00773822">
        <w:rPr>
          <w:rFonts w:ascii="Times New Roman" w:hAnsi="Times New Roman" w:cs="Times New Roman"/>
          <w:sz w:val="24"/>
          <w:szCs w:val="24"/>
        </w:rPr>
        <w:t>institutional population (P). For example, in 2012, the number of teens 16-19 years old in the civilian non</w:t>
      </w:r>
      <w:r>
        <w:rPr>
          <w:rFonts w:ascii="Times New Roman" w:hAnsi="Times New Roman" w:cs="Times New Roman"/>
          <w:sz w:val="24"/>
          <w:szCs w:val="24"/>
        </w:rPr>
        <w:t>-</w:t>
      </w:r>
      <w:r w:rsidRPr="00773822">
        <w:rPr>
          <w:rFonts w:ascii="Times New Roman" w:hAnsi="Times New Roman" w:cs="Times New Roman"/>
          <w:sz w:val="24"/>
          <w:szCs w:val="24"/>
        </w:rPr>
        <w:t xml:space="preserve">institutional population of the U.S. was estimated to be 16.984 million of whom about 4.4 million were employed, yielding an employment/population ratio of 26.1%. This finding implies that 26 of every 100 US teens were employed during an average month in 2012. As will be noted below, </w:t>
      </w:r>
      <w:r w:rsidRPr="00773822">
        <w:rPr>
          <w:rFonts w:ascii="Times New Roman" w:hAnsi="Times New Roman" w:cs="Times New Roman"/>
          <w:sz w:val="24"/>
          <w:szCs w:val="24"/>
          <w:u w:val="single"/>
        </w:rPr>
        <w:t>this was the lowest teen employment rate in the post-World War Two</w:t>
      </w:r>
      <w:r w:rsidRPr="00773822">
        <w:rPr>
          <w:rFonts w:ascii="Times New Roman" w:hAnsi="Times New Roman" w:cs="Times New Roman"/>
          <w:sz w:val="24"/>
          <w:szCs w:val="24"/>
        </w:rPr>
        <w:t xml:space="preserve"> </w:t>
      </w:r>
      <w:r w:rsidRPr="00773822">
        <w:rPr>
          <w:rFonts w:ascii="Times New Roman" w:hAnsi="Times New Roman" w:cs="Times New Roman"/>
          <w:sz w:val="24"/>
          <w:szCs w:val="24"/>
          <w:u w:val="single"/>
        </w:rPr>
        <w:t>history of the United States</w:t>
      </w:r>
      <w:r w:rsidRPr="00773822">
        <w:rPr>
          <w:rFonts w:ascii="Times New Roman" w:hAnsi="Times New Roman" w:cs="Times New Roman"/>
          <w:sz w:val="24"/>
          <w:szCs w:val="24"/>
        </w:rPr>
        <w:t xml:space="preserve">. Declines in teen employment rates over the 2000-2012 period </w:t>
      </w:r>
      <w:r w:rsidRPr="00773822">
        <w:rPr>
          <w:rFonts w:ascii="Times New Roman" w:hAnsi="Times New Roman" w:cs="Times New Roman"/>
          <w:sz w:val="24"/>
          <w:szCs w:val="24"/>
        </w:rPr>
        <w:lastRenderedPageBreak/>
        <w:t xml:space="preserve">have taken place among most OECD </w:t>
      </w:r>
      <w:r w:rsidR="00C615CF" w:rsidRPr="00773822">
        <w:rPr>
          <w:rFonts w:ascii="Times New Roman" w:hAnsi="Times New Roman" w:cs="Times New Roman"/>
          <w:sz w:val="24"/>
          <w:szCs w:val="24"/>
        </w:rPr>
        <w:t>countries, but</w:t>
      </w:r>
      <w:r w:rsidRPr="00773822">
        <w:rPr>
          <w:rFonts w:ascii="Times New Roman" w:hAnsi="Times New Roman" w:cs="Times New Roman"/>
          <w:sz w:val="24"/>
          <w:szCs w:val="24"/>
        </w:rPr>
        <w:t xml:space="preserve"> the magnitude of these reductions was considerably higher in the United States than in the average OECD nation. </w:t>
      </w:r>
    </w:p>
    <w:p w:rsidR="008904F7" w:rsidRDefault="008904F7" w:rsidP="008904F7">
      <w:pPr>
        <w:pStyle w:val="Heading1"/>
      </w:pPr>
      <w:r w:rsidRPr="008904F7">
        <w:t>Time Trends in U.S. Teen Employment Rates, 2000-2012, and Their Variations Across Age, Gender, and Race-Ethnic Group</w:t>
      </w:r>
    </w:p>
    <w:p w:rsidR="0000178B" w:rsidRPr="0000178B" w:rsidRDefault="0000178B" w:rsidP="0000178B"/>
    <w:p w:rsidR="008904F7" w:rsidRDefault="008904F7" w:rsidP="008904F7">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employment/population ratios of </w:t>
      </w:r>
      <w:r w:rsidR="00873AA4">
        <w:rPr>
          <w:rFonts w:ascii="Times New Roman" w:hAnsi="Times New Roman" w:cs="Times New Roman"/>
          <w:sz w:val="24"/>
          <w:szCs w:val="24"/>
        </w:rPr>
        <w:t xml:space="preserve">the </w:t>
      </w:r>
      <w:r>
        <w:rPr>
          <w:rFonts w:ascii="Times New Roman" w:hAnsi="Times New Roman" w:cs="Times New Roman"/>
          <w:sz w:val="24"/>
          <w:szCs w:val="24"/>
        </w:rPr>
        <w:t>nation’s teens have historically been quite cyclically sensitive, rising at above average rates during periods of strong job growth and declining aggregate unemployment (such as 1983-1989, 1992-2000) and dropping at above average rates during recessions and periods of largely jobless recovery (2001 November- August 2003).</w:t>
      </w:r>
      <w:r w:rsidRPr="005D21DD">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nation’s teen employment rate rose fairly strongly during the labor market boom from 1993 to 2000. At the near end of that economic growth cycle, the employment rate of teens hit 45.2%.</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(see Chart </w:t>
      </w:r>
      <w:r w:rsidR="001C23AA">
        <w:rPr>
          <w:rFonts w:ascii="Times New Roman" w:hAnsi="Times New Roman" w:cs="Times New Roman"/>
          <w:sz w:val="24"/>
          <w:szCs w:val="24"/>
        </w:rPr>
        <w:t>2</w:t>
      </w:r>
      <w:r>
        <w:rPr>
          <w:rFonts w:ascii="Times New Roman" w:hAnsi="Times New Roman" w:cs="Times New Roman"/>
          <w:sz w:val="24"/>
          <w:szCs w:val="24"/>
        </w:rPr>
        <w:t xml:space="preserve">). During the recession of 2001 and the jobless recovery through most of 2002 and 2003, the teen E/P ratio dropped sharply to 37.2% in the latter year, an 8 percentage point drop in just three years. </w:t>
      </w:r>
    </w:p>
    <w:p w:rsidR="008904F7" w:rsidRPr="0062220A" w:rsidRDefault="008904F7" w:rsidP="008904F7">
      <w:pPr>
        <w:jc w:val="center"/>
        <w:rPr>
          <w:rFonts w:ascii="Times New Roman" w:hAnsi="Times New Roman" w:cs="Times New Roman"/>
          <w:sz w:val="24"/>
          <w:szCs w:val="24"/>
          <w:u w:val="single"/>
        </w:rPr>
      </w:pPr>
      <w:r w:rsidRPr="0062220A">
        <w:rPr>
          <w:rFonts w:ascii="Times New Roman" w:hAnsi="Times New Roman" w:cs="Times New Roman"/>
          <w:sz w:val="24"/>
          <w:szCs w:val="24"/>
          <w:u w:val="single"/>
        </w:rPr>
        <w:t>Chart</w:t>
      </w:r>
      <w:r>
        <w:rPr>
          <w:rFonts w:ascii="Times New Roman" w:hAnsi="Times New Roman" w:cs="Times New Roman"/>
          <w:sz w:val="24"/>
          <w:szCs w:val="24"/>
          <w:u w:val="single"/>
        </w:rPr>
        <w:t xml:space="preserve"> </w:t>
      </w:r>
      <w:r w:rsidR="001C23AA">
        <w:rPr>
          <w:rFonts w:ascii="Times New Roman" w:hAnsi="Times New Roman" w:cs="Times New Roman"/>
          <w:sz w:val="24"/>
          <w:szCs w:val="24"/>
          <w:u w:val="single"/>
        </w:rPr>
        <w:t>2</w:t>
      </w:r>
      <w:r>
        <w:rPr>
          <w:rFonts w:ascii="Times New Roman" w:hAnsi="Times New Roman" w:cs="Times New Roman"/>
          <w:sz w:val="24"/>
          <w:szCs w:val="24"/>
          <w:u w:val="single"/>
        </w:rPr>
        <w:t xml:space="preserve">: </w:t>
      </w:r>
    </w:p>
    <w:p w:rsidR="008904F7" w:rsidRPr="0062220A" w:rsidRDefault="008904F7" w:rsidP="008904F7">
      <w:pPr>
        <w:jc w:val="center"/>
        <w:rPr>
          <w:rFonts w:ascii="Times New Roman" w:hAnsi="Times New Roman" w:cs="Times New Roman"/>
          <w:sz w:val="24"/>
          <w:szCs w:val="24"/>
          <w:u w:val="single"/>
        </w:rPr>
      </w:pPr>
      <w:r w:rsidRPr="0062220A">
        <w:rPr>
          <w:rFonts w:ascii="Times New Roman" w:hAnsi="Times New Roman" w:cs="Times New Roman"/>
          <w:sz w:val="24"/>
          <w:szCs w:val="24"/>
          <w:u w:val="single"/>
        </w:rPr>
        <w:t>Trends in the Employment/Population Ratios of Teens, Selected Years, 2000-2012 (in %)</w:t>
      </w:r>
    </w:p>
    <w:p w:rsidR="008904F7" w:rsidRDefault="008904F7" w:rsidP="008904F7">
      <w:pPr>
        <w:spacing w:before="120" w:line="360" w:lineRule="auto"/>
        <w:ind w:firstLine="720"/>
        <w:jc w:val="both"/>
        <w:rPr>
          <w:rFonts w:ascii="Times New Roman" w:hAnsi="Times New Roman" w:cs="Times New Roman"/>
          <w:sz w:val="24"/>
          <w:szCs w:val="24"/>
        </w:rPr>
      </w:pPr>
      <w:r>
        <w:rPr>
          <w:noProof/>
        </w:rPr>
        <w:drawing>
          <wp:inline distT="0" distB="0" distL="0" distR="0" wp14:anchorId="3683055B" wp14:editId="5B7138EB">
            <wp:extent cx="4572000" cy="26574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4946" w:rsidRDefault="008904F7" w:rsidP="008904F7">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the strong job growth years of 2003-2007, the teen E/P ratio barely budged, peaking at 37.6% in 2006, a year before the economy reached its cyclical peak at the end of 2007. Over the next four years (2006-2010), the national teen employment rate would again plummet, dropping by more than 10 percentage points to 26.8% in 2010, a new post-World War Two historical low. Their employment rate would continue to fall modestly over the next two years, </w:t>
      </w:r>
      <w:r>
        <w:rPr>
          <w:rFonts w:ascii="Times New Roman" w:hAnsi="Times New Roman" w:cs="Times New Roman"/>
          <w:sz w:val="24"/>
          <w:szCs w:val="24"/>
          <w:u w:val="single"/>
        </w:rPr>
        <w:t>dropping to 26% in 2012</w:t>
      </w:r>
      <w:r>
        <w:rPr>
          <w:rFonts w:ascii="Times New Roman" w:hAnsi="Times New Roman" w:cs="Times New Roman"/>
          <w:sz w:val="24"/>
          <w:szCs w:val="24"/>
        </w:rPr>
        <w:t xml:space="preserve">, </w:t>
      </w:r>
      <w:r w:rsidRPr="006F482A">
        <w:rPr>
          <w:rFonts w:ascii="Times New Roman" w:hAnsi="Times New Roman" w:cs="Times New Roman"/>
          <w:sz w:val="24"/>
          <w:szCs w:val="24"/>
          <w:u w:val="single"/>
        </w:rPr>
        <w:t>another new all-time low</w:t>
      </w:r>
      <w:r>
        <w:rPr>
          <w:rFonts w:ascii="Times New Roman" w:hAnsi="Times New Roman" w:cs="Times New Roman"/>
          <w:sz w:val="24"/>
          <w:szCs w:val="24"/>
        </w:rPr>
        <w:t>. This employment rate was nearly 20 full percentage points below its value in 2000. Through the end of calendar year 2012, teen</w:t>
      </w:r>
      <w:r w:rsidR="00284946">
        <w:rPr>
          <w:rFonts w:ascii="Times New Roman" w:hAnsi="Times New Roman" w:cs="Times New Roman"/>
          <w:sz w:val="24"/>
          <w:szCs w:val="24"/>
        </w:rPr>
        <w:t>s</w:t>
      </w:r>
      <w:r>
        <w:rPr>
          <w:rFonts w:ascii="Times New Roman" w:hAnsi="Times New Roman" w:cs="Times New Roman"/>
          <w:sz w:val="24"/>
          <w:szCs w:val="24"/>
        </w:rPr>
        <w:t xml:space="preserve"> had not yet captured any of the net increase in total civilian employment that had been taking place since the fourth quarter of 2009. By the first quarter of 2013, aggregate civilian employment (persons 16+) was 5 million above its level in 2009 IV. Yet, teen employment in that same quarter of 2013 was 42,000 or 1% below its level in the fourth quarter of 2009. Teen</w:t>
      </w:r>
      <w:r w:rsidR="00284946">
        <w:rPr>
          <w:rFonts w:ascii="Times New Roman" w:hAnsi="Times New Roman" w:cs="Times New Roman"/>
          <w:sz w:val="24"/>
          <w:szCs w:val="24"/>
        </w:rPr>
        <w:t>s</w:t>
      </w:r>
      <w:r>
        <w:rPr>
          <w:rFonts w:ascii="Times New Roman" w:hAnsi="Times New Roman" w:cs="Times New Roman"/>
          <w:sz w:val="24"/>
          <w:szCs w:val="24"/>
        </w:rPr>
        <w:t xml:space="preserve"> were the only age group in the U.S. to have failed to experience any net new increase in their employment </w:t>
      </w:r>
      <w:r w:rsidR="006F482A">
        <w:rPr>
          <w:rFonts w:ascii="Times New Roman" w:hAnsi="Times New Roman" w:cs="Times New Roman"/>
          <w:sz w:val="24"/>
          <w:szCs w:val="24"/>
        </w:rPr>
        <w:t xml:space="preserve">levels </w:t>
      </w:r>
      <w:r>
        <w:rPr>
          <w:rFonts w:ascii="Times New Roman" w:hAnsi="Times New Roman" w:cs="Times New Roman"/>
          <w:sz w:val="24"/>
          <w:szCs w:val="24"/>
        </w:rPr>
        <w:t xml:space="preserve">through the first three and one half years of jobs recovery. </w:t>
      </w:r>
    </w:p>
    <w:p w:rsidR="008904F7" w:rsidRPr="00620285" w:rsidRDefault="008904F7" w:rsidP="008904F7">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great age twist in employment in the U.S. over the past 12 years has dramatically</w:t>
      </w:r>
      <w:r w:rsidR="00284946">
        <w:rPr>
          <w:rFonts w:ascii="Times New Roman" w:hAnsi="Times New Roman" w:cs="Times New Roman"/>
          <w:sz w:val="24"/>
          <w:szCs w:val="24"/>
        </w:rPr>
        <w:t xml:space="preserve"> reduced the </w:t>
      </w:r>
      <w:r>
        <w:rPr>
          <w:rFonts w:ascii="Times New Roman" w:hAnsi="Times New Roman" w:cs="Times New Roman"/>
          <w:sz w:val="24"/>
          <w:szCs w:val="24"/>
        </w:rPr>
        <w:t xml:space="preserve">employment rates of every single age group of teen workers. (see Chart </w:t>
      </w:r>
      <w:r w:rsidR="00370426">
        <w:rPr>
          <w:rFonts w:ascii="Times New Roman" w:hAnsi="Times New Roman" w:cs="Times New Roman"/>
          <w:sz w:val="24"/>
          <w:szCs w:val="24"/>
        </w:rPr>
        <w:t>3</w:t>
      </w:r>
      <w:r>
        <w:rPr>
          <w:rFonts w:ascii="Times New Roman" w:hAnsi="Times New Roman" w:cs="Times New Roman"/>
          <w:sz w:val="24"/>
          <w:szCs w:val="24"/>
        </w:rPr>
        <w:t xml:space="preserve">). The entire age gradient of teen employment rates from 16 to 19 was pushed downward to a substantial degree from 1999-2000 to 2011-2012. Each single age group of teens saw their employment rates drop in absolute terms from 17 to 21 percentage points. In relative terms, the declines were highest for the youngest age groups. The nation’s 16 year olds experienced a 60% drop in their E/P ratio, 17 year olds encountered a decline of 50%, and 19 year olds had a near 30% drop. The magnitude of these declines were well beyond those of all other age groups under </w:t>
      </w:r>
      <w:r w:rsidR="006F482A">
        <w:rPr>
          <w:rFonts w:ascii="Times New Roman" w:hAnsi="Times New Roman" w:cs="Times New Roman"/>
          <w:sz w:val="24"/>
          <w:szCs w:val="24"/>
        </w:rPr>
        <w:t xml:space="preserve">age </w:t>
      </w:r>
      <w:r>
        <w:rPr>
          <w:rFonts w:ascii="Times New Roman" w:hAnsi="Times New Roman" w:cs="Times New Roman"/>
          <w:sz w:val="24"/>
          <w:szCs w:val="24"/>
        </w:rPr>
        <w:t>5</w:t>
      </w:r>
      <w:r w:rsidR="00284946">
        <w:rPr>
          <w:rFonts w:ascii="Times New Roman" w:hAnsi="Times New Roman" w:cs="Times New Roman"/>
          <w:sz w:val="24"/>
          <w:szCs w:val="24"/>
        </w:rPr>
        <w:t>7 while</w:t>
      </w:r>
      <w:r>
        <w:rPr>
          <w:rFonts w:ascii="Times New Roman" w:hAnsi="Times New Roman" w:cs="Times New Roman"/>
          <w:sz w:val="24"/>
          <w:szCs w:val="24"/>
        </w:rPr>
        <w:t xml:space="preserve"> older workers obtained increases in their employment rates over this same time period. Given the strong path dependency in teen and young adult employment rates, these steep declines in cumulative work experience during the teen years will have adverse effects on their employability and earnings in their early to mid-20s. These </w:t>
      </w:r>
      <w:r w:rsidR="00284946">
        <w:rPr>
          <w:rFonts w:ascii="Times New Roman" w:hAnsi="Times New Roman" w:cs="Times New Roman"/>
          <w:sz w:val="24"/>
          <w:szCs w:val="24"/>
        </w:rPr>
        <w:t xml:space="preserve">employment and </w:t>
      </w:r>
      <w:r>
        <w:rPr>
          <w:rFonts w:ascii="Times New Roman" w:hAnsi="Times New Roman" w:cs="Times New Roman"/>
          <w:sz w:val="24"/>
          <w:szCs w:val="24"/>
        </w:rPr>
        <w:t>earnings losses tend to be most severe for those youth who were both out of school and out of work in the</w:t>
      </w:r>
      <w:r w:rsidR="00284946">
        <w:rPr>
          <w:rFonts w:ascii="Times New Roman" w:hAnsi="Times New Roman" w:cs="Times New Roman"/>
          <w:sz w:val="24"/>
          <w:szCs w:val="24"/>
        </w:rPr>
        <w:t>ir</w:t>
      </w:r>
      <w:r>
        <w:rPr>
          <w:rFonts w:ascii="Times New Roman" w:hAnsi="Times New Roman" w:cs="Times New Roman"/>
          <w:sz w:val="24"/>
          <w:szCs w:val="24"/>
        </w:rPr>
        <w:t xml:space="preserve"> late teens and early 20s.</w:t>
      </w:r>
      <w:r w:rsidR="00284946">
        <w:rPr>
          <w:rStyle w:val="FootnoteReference"/>
          <w:rFonts w:ascii="Times New Roman" w:hAnsi="Times New Roman" w:cs="Times New Roman"/>
          <w:sz w:val="24"/>
          <w:szCs w:val="24"/>
        </w:rPr>
        <w:footnoteReference w:id="6"/>
      </w:r>
    </w:p>
    <w:p w:rsidR="00370426" w:rsidRDefault="00370426" w:rsidP="008904F7">
      <w:pPr>
        <w:jc w:val="center"/>
        <w:rPr>
          <w:rFonts w:ascii="Times New Roman" w:hAnsi="Times New Roman" w:cs="Times New Roman"/>
          <w:sz w:val="24"/>
          <w:szCs w:val="24"/>
          <w:u w:val="single"/>
        </w:rPr>
      </w:pPr>
    </w:p>
    <w:p w:rsidR="008904F7" w:rsidRPr="0062220A" w:rsidRDefault="008904F7" w:rsidP="008904F7">
      <w:pPr>
        <w:jc w:val="center"/>
        <w:rPr>
          <w:rFonts w:ascii="Times New Roman" w:hAnsi="Times New Roman" w:cs="Times New Roman"/>
          <w:sz w:val="24"/>
          <w:szCs w:val="24"/>
          <w:u w:val="single"/>
        </w:rPr>
      </w:pPr>
      <w:r w:rsidRPr="0062220A">
        <w:rPr>
          <w:rFonts w:ascii="Times New Roman" w:hAnsi="Times New Roman" w:cs="Times New Roman"/>
          <w:sz w:val="24"/>
          <w:szCs w:val="24"/>
          <w:u w:val="single"/>
        </w:rPr>
        <w:lastRenderedPageBreak/>
        <w:t>Chart</w:t>
      </w:r>
      <w:r>
        <w:rPr>
          <w:rFonts w:ascii="Times New Roman" w:hAnsi="Times New Roman" w:cs="Times New Roman"/>
          <w:sz w:val="24"/>
          <w:szCs w:val="24"/>
          <w:u w:val="single"/>
        </w:rPr>
        <w:t xml:space="preserve"> </w:t>
      </w:r>
      <w:r w:rsidR="00370426">
        <w:rPr>
          <w:rFonts w:ascii="Times New Roman" w:hAnsi="Times New Roman" w:cs="Times New Roman"/>
          <w:sz w:val="24"/>
          <w:szCs w:val="24"/>
          <w:u w:val="single"/>
        </w:rPr>
        <w:t>3</w:t>
      </w:r>
      <w:r w:rsidRPr="0062220A">
        <w:rPr>
          <w:rFonts w:ascii="Times New Roman" w:hAnsi="Times New Roman" w:cs="Times New Roman"/>
          <w:sz w:val="24"/>
          <w:szCs w:val="24"/>
          <w:u w:val="single"/>
        </w:rPr>
        <w:t>:</w:t>
      </w:r>
    </w:p>
    <w:p w:rsidR="008904F7" w:rsidRDefault="008904F7" w:rsidP="008904F7">
      <w:pPr>
        <w:jc w:val="center"/>
        <w:rPr>
          <w:rFonts w:ascii="Times New Roman" w:hAnsi="Times New Roman" w:cs="Times New Roman"/>
          <w:sz w:val="24"/>
          <w:szCs w:val="24"/>
        </w:rPr>
      </w:pPr>
      <w:r w:rsidRPr="0062220A">
        <w:rPr>
          <w:rFonts w:ascii="Times New Roman" w:eastAsia="Times New Roman" w:hAnsi="Times New Roman" w:cs="Times New Roman"/>
          <w:color w:val="000000"/>
          <w:sz w:val="24"/>
          <w:szCs w:val="24"/>
          <w:u w:val="single"/>
        </w:rPr>
        <w:t>Teen Employment Rates by Single Age Group in 1999-2000 and 2011-2012</w:t>
      </w:r>
    </w:p>
    <w:p w:rsidR="008904F7" w:rsidRDefault="008904F7" w:rsidP="008904F7">
      <w:pPr>
        <w:spacing w:before="120" w:line="360" w:lineRule="auto"/>
        <w:ind w:firstLine="720"/>
        <w:jc w:val="both"/>
        <w:rPr>
          <w:rFonts w:ascii="Times New Roman" w:hAnsi="Times New Roman" w:cs="Times New Roman"/>
          <w:sz w:val="24"/>
          <w:szCs w:val="24"/>
        </w:rPr>
      </w:pPr>
      <w:r>
        <w:rPr>
          <w:noProof/>
        </w:rPr>
        <w:drawing>
          <wp:inline distT="0" distB="0" distL="0" distR="0" wp14:anchorId="21A16671" wp14:editId="47E3B313">
            <wp:extent cx="52197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04F7" w:rsidRDefault="008904F7" w:rsidP="008904F7">
      <w:pPr>
        <w:spacing w:after="120" w:line="360" w:lineRule="auto"/>
        <w:ind w:firstLine="720"/>
        <w:jc w:val="both"/>
        <w:rPr>
          <w:rFonts w:ascii="Times New Roman" w:hAnsi="Times New Roman" w:cs="Times New Roman"/>
          <w:sz w:val="24"/>
          <w:szCs w:val="24"/>
        </w:rPr>
      </w:pPr>
    </w:p>
    <w:p w:rsidR="00BB53C9" w:rsidRDefault="00BB53C9" w:rsidP="008904F7">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decline</w:t>
      </w:r>
      <w:r w:rsidR="006F482A">
        <w:rPr>
          <w:rFonts w:ascii="Times New Roman" w:hAnsi="Times New Roman" w:cs="Times New Roman"/>
          <w:sz w:val="24"/>
          <w:szCs w:val="24"/>
        </w:rPr>
        <w:t>s</w:t>
      </w:r>
      <w:r>
        <w:rPr>
          <w:rFonts w:ascii="Times New Roman" w:hAnsi="Times New Roman" w:cs="Times New Roman"/>
          <w:sz w:val="24"/>
          <w:szCs w:val="24"/>
        </w:rPr>
        <w:t xml:space="preserve"> in teen employment rates in the U.S. over the 2000-2012 time period were widespread across each gender and race-ethnic group. (Table 1). In calendar year 2000, the employment rates of teen men and women in the U.S. were basically identical at 45.2% and 45.0%, respectively. Over the next twelve years, the employment rates of both gender groups declined considerably, with male teens experiencing an above average decline. As was true for most years following 2000, </w:t>
      </w:r>
      <w:r>
        <w:rPr>
          <w:rFonts w:ascii="Times New Roman" w:hAnsi="Times New Roman" w:cs="Times New Roman"/>
          <w:sz w:val="24"/>
          <w:szCs w:val="24"/>
          <w:u w:val="single"/>
        </w:rPr>
        <w:t>female teens in 2012 were more likely to be employed than their  male counterparts (27.3% vs. 24.9%)</w:t>
      </w:r>
      <w:r>
        <w:rPr>
          <w:rFonts w:ascii="Times New Roman" w:hAnsi="Times New Roman" w:cs="Times New Roman"/>
          <w:sz w:val="24"/>
          <w:szCs w:val="24"/>
        </w:rPr>
        <w:t>. The steep declines in many blue collar job</w:t>
      </w:r>
      <w:r w:rsidR="006F482A">
        <w:rPr>
          <w:rFonts w:ascii="Times New Roman" w:hAnsi="Times New Roman" w:cs="Times New Roman"/>
          <w:sz w:val="24"/>
          <w:szCs w:val="24"/>
        </w:rPr>
        <w:t>s</w:t>
      </w:r>
      <w:r>
        <w:rPr>
          <w:rFonts w:ascii="Times New Roman" w:hAnsi="Times New Roman" w:cs="Times New Roman"/>
          <w:sz w:val="24"/>
          <w:szCs w:val="24"/>
        </w:rPr>
        <w:t xml:space="preserve"> during the Great Recession of 2007-09 and its early aftermath had a more adverse effect on male teens than their female counterparts, sharply restricting their opportunities to be employed in such occupations (production, transportation, crafts, and laborers). Both Black and White male teens were less likely than their female peers to be working in 2012.</w:t>
      </w: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853965" w:rsidRDefault="00853965" w:rsidP="00853965">
      <w:pPr>
        <w:jc w:val="center"/>
        <w:rPr>
          <w:rFonts w:ascii="Times" w:hAnsi="Times" w:cs="Times"/>
          <w:sz w:val="24"/>
          <w:szCs w:val="24"/>
          <w:u w:val="single"/>
        </w:rPr>
      </w:pPr>
      <w:r>
        <w:rPr>
          <w:rFonts w:ascii="Times" w:hAnsi="Times" w:cs="Times"/>
          <w:sz w:val="24"/>
          <w:szCs w:val="24"/>
          <w:u w:val="single"/>
        </w:rPr>
        <w:lastRenderedPageBreak/>
        <w:t xml:space="preserve">Table 1: </w:t>
      </w:r>
    </w:p>
    <w:p w:rsidR="00853965" w:rsidRDefault="00853965" w:rsidP="00853965">
      <w:pPr>
        <w:jc w:val="center"/>
        <w:rPr>
          <w:rFonts w:ascii="Times" w:hAnsi="Times" w:cs="Times"/>
          <w:sz w:val="24"/>
          <w:szCs w:val="24"/>
          <w:u w:val="single"/>
        </w:rPr>
      </w:pPr>
      <w:r>
        <w:rPr>
          <w:rFonts w:ascii="Times" w:hAnsi="Times" w:cs="Times"/>
          <w:sz w:val="24"/>
          <w:szCs w:val="24"/>
          <w:u w:val="single"/>
        </w:rPr>
        <w:t>Trends in U.S. Teen Youth Employment Rates by Gender and Selected Race-Ethnic Groups, 2000 to 2012 (in %)</w:t>
      </w:r>
    </w:p>
    <w:p w:rsidR="00457A92" w:rsidRDefault="00457A92" w:rsidP="00853965">
      <w:pPr>
        <w:jc w:val="center"/>
        <w:rPr>
          <w:rFonts w:ascii="Times" w:hAnsi="Times" w:cs="Times"/>
          <w:sz w:val="24"/>
          <w:szCs w:val="24"/>
          <w:u w:val="single"/>
        </w:rPr>
      </w:pPr>
    </w:p>
    <w:tbl>
      <w:tblPr>
        <w:tblW w:w="6480" w:type="dxa"/>
        <w:tblInd w:w="108" w:type="dxa"/>
        <w:tblLook w:val="04A0" w:firstRow="1" w:lastRow="0" w:firstColumn="1" w:lastColumn="0" w:noHBand="0" w:noVBand="1"/>
      </w:tblPr>
      <w:tblGrid>
        <w:gridCol w:w="1556"/>
        <w:gridCol w:w="1256"/>
        <w:gridCol w:w="1916"/>
        <w:gridCol w:w="1752"/>
      </w:tblGrid>
      <w:tr w:rsidR="00457A92" w:rsidRPr="00457A92" w:rsidTr="00457A92">
        <w:trPr>
          <w:trHeight w:val="300"/>
        </w:trPr>
        <w:tc>
          <w:tcPr>
            <w:tcW w:w="1556" w:type="dxa"/>
            <w:tcBorders>
              <w:top w:val="single" w:sz="4" w:space="0" w:color="auto"/>
              <w:left w:val="nil"/>
              <w:bottom w:val="single" w:sz="4" w:space="0" w:color="auto"/>
              <w:right w:val="nil"/>
            </w:tcBorders>
            <w:shd w:val="clear" w:color="auto" w:fill="auto"/>
            <w:noWrap/>
            <w:vAlign w:val="bottom"/>
            <w:hideMark/>
          </w:tcPr>
          <w:p w:rsidR="00457A92" w:rsidRPr="00457A92" w:rsidRDefault="00457A92" w:rsidP="00457A92">
            <w:pPr>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Group</w:t>
            </w:r>
          </w:p>
        </w:tc>
        <w:tc>
          <w:tcPr>
            <w:tcW w:w="1256" w:type="dxa"/>
            <w:tcBorders>
              <w:top w:val="single" w:sz="4" w:space="0" w:color="auto"/>
              <w:left w:val="nil"/>
              <w:bottom w:val="single" w:sz="4" w:space="0" w:color="auto"/>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2000</w:t>
            </w:r>
          </w:p>
        </w:tc>
        <w:tc>
          <w:tcPr>
            <w:tcW w:w="1916" w:type="dxa"/>
            <w:tcBorders>
              <w:top w:val="single" w:sz="4" w:space="0" w:color="auto"/>
              <w:left w:val="nil"/>
              <w:bottom w:val="single" w:sz="4" w:space="0" w:color="auto"/>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2012</w:t>
            </w:r>
          </w:p>
        </w:tc>
        <w:tc>
          <w:tcPr>
            <w:tcW w:w="1752" w:type="dxa"/>
            <w:tcBorders>
              <w:top w:val="single" w:sz="4" w:space="0" w:color="auto"/>
              <w:left w:val="nil"/>
              <w:bottom w:val="single" w:sz="4" w:space="0" w:color="auto"/>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Percentage Points Change</w:t>
            </w:r>
          </w:p>
        </w:tc>
      </w:tr>
      <w:tr w:rsidR="00457A92" w:rsidRPr="00457A92" w:rsidTr="00457A92">
        <w:trPr>
          <w:trHeight w:val="300"/>
        </w:trPr>
        <w:tc>
          <w:tcPr>
            <w:tcW w:w="1556" w:type="dxa"/>
            <w:tcBorders>
              <w:top w:val="single" w:sz="4" w:space="0" w:color="auto"/>
              <w:left w:val="nil"/>
              <w:bottom w:val="nil"/>
              <w:right w:val="nil"/>
            </w:tcBorders>
            <w:shd w:val="clear" w:color="auto" w:fill="auto"/>
            <w:noWrap/>
            <w:vAlign w:val="bottom"/>
            <w:hideMark/>
          </w:tcPr>
          <w:p w:rsidR="00457A92" w:rsidRPr="00457A92" w:rsidRDefault="00457A92" w:rsidP="00457A92">
            <w:pPr>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Men</w:t>
            </w:r>
          </w:p>
        </w:tc>
        <w:tc>
          <w:tcPr>
            <w:tcW w:w="1256" w:type="dxa"/>
            <w:tcBorders>
              <w:top w:val="single" w:sz="4" w:space="0" w:color="auto"/>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45.2</w:t>
            </w:r>
          </w:p>
        </w:tc>
        <w:tc>
          <w:tcPr>
            <w:tcW w:w="1916" w:type="dxa"/>
            <w:tcBorders>
              <w:top w:val="single" w:sz="4" w:space="0" w:color="auto"/>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24.9</w:t>
            </w:r>
          </w:p>
        </w:tc>
        <w:tc>
          <w:tcPr>
            <w:tcW w:w="1752" w:type="dxa"/>
            <w:tcBorders>
              <w:top w:val="single" w:sz="4" w:space="0" w:color="auto"/>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-20.3</w:t>
            </w:r>
          </w:p>
        </w:tc>
      </w:tr>
      <w:tr w:rsidR="00457A92" w:rsidRPr="00457A92" w:rsidTr="00457A92">
        <w:trPr>
          <w:trHeight w:val="300"/>
        </w:trPr>
        <w:tc>
          <w:tcPr>
            <w:tcW w:w="1556" w:type="dxa"/>
            <w:tcBorders>
              <w:top w:val="nil"/>
              <w:left w:val="nil"/>
              <w:bottom w:val="nil"/>
              <w:right w:val="nil"/>
            </w:tcBorders>
            <w:shd w:val="clear" w:color="auto" w:fill="auto"/>
            <w:noWrap/>
            <w:vAlign w:val="bottom"/>
          </w:tcPr>
          <w:p w:rsidR="00457A92" w:rsidRPr="00457A92" w:rsidRDefault="00457A92" w:rsidP="00457A92">
            <w:pPr>
              <w:rPr>
                <w:rFonts w:ascii="Times New Roman" w:eastAsia="Times New Roman" w:hAnsi="Times New Roman" w:cs="Times New Roman"/>
                <w:color w:val="000000"/>
                <w:sz w:val="24"/>
                <w:szCs w:val="24"/>
              </w:rPr>
            </w:pPr>
          </w:p>
        </w:tc>
        <w:tc>
          <w:tcPr>
            <w:tcW w:w="1256"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916"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752"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r>
      <w:tr w:rsidR="00457A92" w:rsidRPr="00457A92" w:rsidTr="00457A92">
        <w:trPr>
          <w:trHeight w:val="300"/>
        </w:trPr>
        <w:tc>
          <w:tcPr>
            <w:tcW w:w="1556" w:type="dxa"/>
            <w:tcBorders>
              <w:top w:val="nil"/>
              <w:left w:val="nil"/>
              <w:bottom w:val="nil"/>
              <w:right w:val="nil"/>
            </w:tcBorders>
            <w:shd w:val="clear" w:color="auto" w:fill="auto"/>
            <w:noWrap/>
            <w:vAlign w:val="bottom"/>
            <w:hideMark/>
          </w:tcPr>
          <w:p w:rsidR="00457A92" w:rsidRPr="00457A92" w:rsidRDefault="00457A92" w:rsidP="00457A92">
            <w:pPr>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Women</w:t>
            </w:r>
          </w:p>
        </w:tc>
        <w:tc>
          <w:tcPr>
            <w:tcW w:w="1256"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45.0</w:t>
            </w:r>
          </w:p>
        </w:tc>
        <w:tc>
          <w:tcPr>
            <w:tcW w:w="1916"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27.3</w:t>
            </w:r>
          </w:p>
        </w:tc>
        <w:tc>
          <w:tcPr>
            <w:tcW w:w="1752"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-17.7</w:t>
            </w:r>
          </w:p>
        </w:tc>
      </w:tr>
      <w:tr w:rsidR="00457A92" w:rsidRPr="00457A92" w:rsidTr="00457A92">
        <w:trPr>
          <w:trHeight w:val="300"/>
        </w:trPr>
        <w:tc>
          <w:tcPr>
            <w:tcW w:w="1556" w:type="dxa"/>
            <w:tcBorders>
              <w:top w:val="nil"/>
              <w:left w:val="nil"/>
              <w:bottom w:val="nil"/>
              <w:right w:val="nil"/>
            </w:tcBorders>
            <w:shd w:val="clear" w:color="auto" w:fill="auto"/>
            <w:noWrap/>
            <w:vAlign w:val="bottom"/>
          </w:tcPr>
          <w:p w:rsidR="00457A92" w:rsidRPr="00457A92" w:rsidRDefault="00457A92" w:rsidP="00457A92">
            <w:pPr>
              <w:rPr>
                <w:rFonts w:ascii="Times New Roman" w:eastAsia="Times New Roman" w:hAnsi="Times New Roman" w:cs="Times New Roman"/>
                <w:color w:val="000000"/>
                <w:sz w:val="24"/>
                <w:szCs w:val="24"/>
              </w:rPr>
            </w:pPr>
          </w:p>
        </w:tc>
        <w:tc>
          <w:tcPr>
            <w:tcW w:w="1256"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916"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752"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r>
      <w:tr w:rsidR="00457A92" w:rsidRPr="00457A92" w:rsidTr="00457A92">
        <w:trPr>
          <w:trHeight w:val="300"/>
        </w:trPr>
        <w:tc>
          <w:tcPr>
            <w:tcW w:w="1556" w:type="dxa"/>
            <w:tcBorders>
              <w:top w:val="nil"/>
              <w:left w:val="nil"/>
              <w:bottom w:val="nil"/>
              <w:right w:val="nil"/>
            </w:tcBorders>
            <w:shd w:val="clear" w:color="auto" w:fill="auto"/>
            <w:noWrap/>
            <w:vAlign w:val="bottom"/>
            <w:hideMark/>
          </w:tcPr>
          <w:p w:rsidR="00457A92" w:rsidRPr="00457A92" w:rsidRDefault="00457A92" w:rsidP="00457A92">
            <w:pPr>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Asian</w:t>
            </w:r>
          </w:p>
        </w:tc>
        <w:tc>
          <w:tcPr>
            <w:tcW w:w="1256"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30.8</w:t>
            </w:r>
          </w:p>
        </w:tc>
        <w:tc>
          <w:tcPr>
            <w:tcW w:w="1916"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16.2</w:t>
            </w:r>
          </w:p>
        </w:tc>
        <w:tc>
          <w:tcPr>
            <w:tcW w:w="1752"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-14.6</w:t>
            </w:r>
          </w:p>
        </w:tc>
      </w:tr>
      <w:tr w:rsidR="00457A92" w:rsidRPr="00457A92" w:rsidTr="00457A92">
        <w:trPr>
          <w:trHeight w:val="300"/>
        </w:trPr>
        <w:tc>
          <w:tcPr>
            <w:tcW w:w="1556" w:type="dxa"/>
            <w:tcBorders>
              <w:top w:val="nil"/>
              <w:left w:val="nil"/>
              <w:bottom w:val="nil"/>
              <w:right w:val="nil"/>
            </w:tcBorders>
            <w:shd w:val="clear" w:color="auto" w:fill="auto"/>
            <w:noWrap/>
            <w:vAlign w:val="bottom"/>
          </w:tcPr>
          <w:p w:rsidR="00457A92" w:rsidRPr="00457A92" w:rsidRDefault="00457A92" w:rsidP="00457A92">
            <w:pPr>
              <w:rPr>
                <w:rFonts w:ascii="Times New Roman" w:eastAsia="Times New Roman" w:hAnsi="Times New Roman" w:cs="Times New Roman"/>
                <w:color w:val="000000"/>
                <w:sz w:val="24"/>
                <w:szCs w:val="24"/>
              </w:rPr>
            </w:pPr>
          </w:p>
        </w:tc>
        <w:tc>
          <w:tcPr>
            <w:tcW w:w="1256"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916"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752" w:type="dxa"/>
            <w:tcBorders>
              <w:top w:val="nil"/>
              <w:left w:val="nil"/>
              <w:bottom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r>
      <w:tr w:rsidR="00457A92" w:rsidRPr="00457A92" w:rsidTr="00457A92">
        <w:trPr>
          <w:trHeight w:val="300"/>
        </w:trPr>
        <w:tc>
          <w:tcPr>
            <w:tcW w:w="1556" w:type="dxa"/>
            <w:tcBorders>
              <w:top w:val="nil"/>
              <w:left w:val="nil"/>
              <w:bottom w:val="nil"/>
              <w:right w:val="nil"/>
            </w:tcBorders>
            <w:shd w:val="clear" w:color="auto" w:fill="auto"/>
            <w:noWrap/>
            <w:vAlign w:val="bottom"/>
            <w:hideMark/>
          </w:tcPr>
          <w:p w:rsidR="00457A92" w:rsidRPr="00457A92" w:rsidRDefault="00457A92" w:rsidP="00457A92">
            <w:pPr>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Black</w:t>
            </w:r>
            <w:r>
              <w:rPr>
                <w:rFonts w:ascii="Times New Roman" w:eastAsia="Times New Roman" w:hAnsi="Times New Roman" w:cs="Times New Roman"/>
                <w:color w:val="000000"/>
                <w:sz w:val="24"/>
                <w:szCs w:val="24"/>
              </w:rPr>
              <w:t xml:space="preserve"> </w:t>
            </w:r>
            <w:r w:rsidRPr="00457A92">
              <w:rPr>
                <w:rFonts w:ascii="Times New Roman" w:hAnsi="Times New Roman" w:cs="Times New Roman"/>
                <w:sz w:val="24"/>
                <w:szCs w:val="24"/>
                <w:vertAlign w:val="superscript"/>
              </w:rPr>
              <w:t>(1)</w:t>
            </w:r>
          </w:p>
        </w:tc>
        <w:tc>
          <w:tcPr>
            <w:tcW w:w="1256"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29.8</w:t>
            </w:r>
          </w:p>
        </w:tc>
        <w:tc>
          <w:tcPr>
            <w:tcW w:w="1916"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16.6</w:t>
            </w:r>
          </w:p>
        </w:tc>
        <w:tc>
          <w:tcPr>
            <w:tcW w:w="1752" w:type="dxa"/>
            <w:tcBorders>
              <w:top w:val="nil"/>
              <w:left w:val="nil"/>
              <w:bottom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-13.2</w:t>
            </w:r>
          </w:p>
        </w:tc>
      </w:tr>
      <w:tr w:rsidR="00457A92" w:rsidRPr="00457A92" w:rsidTr="00457A92">
        <w:trPr>
          <w:trHeight w:val="300"/>
        </w:trPr>
        <w:tc>
          <w:tcPr>
            <w:tcW w:w="1556" w:type="dxa"/>
            <w:tcBorders>
              <w:top w:val="nil"/>
              <w:left w:val="nil"/>
              <w:right w:val="nil"/>
            </w:tcBorders>
            <w:shd w:val="clear" w:color="auto" w:fill="auto"/>
            <w:noWrap/>
            <w:vAlign w:val="bottom"/>
          </w:tcPr>
          <w:p w:rsidR="00457A92" w:rsidRPr="00457A92" w:rsidRDefault="00457A92" w:rsidP="00457A92">
            <w:pPr>
              <w:rPr>
                <w:rFonts w:ascii="Times New Roman" w:eastAsia="Times New Roman" w:hAnsi="Times New Roman" w:cs="Times New Roman"/>
                <w:color w:val="000000"/>
                <w:sz w:val="24"/>
                <w:szCs w:val="24"/>
              </w:rPr>
            </w:pPr>
          </w:p>
        </w:tc>
        <w:tc>
          <w:tcPr>
            <w:tcW w:w="1256" w:type="dxa"/>
            <w:tcBorders>
              <w:top w:val="nil"/>
              <w:left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916" w:type="dxa"/>
            <w:tcBorders>
              <w:top w:val="nil"/>
              <w:left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752" w:type="dxa"/>
            <w:tcBorders>
              <w:top w:val="nil"/>
              <w:left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r>
      <w:tr w:rsidR="00457A92" w:rsidRPr="00457A92" w:rsidTr="00457A92">
        <w:trPr>
          <w:trHeight w:val="300"/>
        </w:trPr>
        <w:tc>
          <w:tcPr>
            <w:tcW w:w="1556" w:type="dxa"/>
            <w:tcBorders>
              <w:top w:val="nil"/>
              <w:left w:val="nil"/>
              <w:right w:val="nil"/>
            </w:tcBorders>
            <w:shd w:val="clear" w:color="auto" w:fill="auto"/>
            <w:noWrap/>
            <w:vAlign w:val="bottom"/>
            <w:hideMark/>
          </w:tcPr>
          <w:p w:rsidR="00457A92" w:rsidRPr="00457A92" w:rsidRDefault="00457A92" w:rsidP="00457A92">
            <w:pPr>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Hispanic</w:t>
            </w:r>
          </w:p>
        </w:tc>
        <w:tc>
          <w:tcPr>
            <w:tcW w:w="1256" w:type="dxa"/>
            <w:tcBorders>
              <w:top w:val="nil"/>
              <w:left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38.6</w:t>
            </w:r>
          </w:p>
        </w:tc>
        <w:tc>
          <w:tcPr>
            <w:tcW w:w="1916" w:type="dxa"/>
            <w:tcBorders>
              <w:top w:val="nil"/>
              <w:left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22.1</w:t>
            </w:r>
          </w:p>
        </w:tc>
        <w:tc>
          <w:tcPr>
            <w:tcW w:w="1752" w:type="dxa"/>
            <w:tcBorders>
              <w:top w:val="nil"/>
              <w:left w:val="nil"/>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-16.5</w:t>
            </w:r>
          </w:p>
        </w:tc>
      </w:tr>
      <w:tr w:rsidR="00457A92" w:rsidRPr="00457A92" w:rsidTr="00457A92">
        <w:trPr>
          <w:trHeight w:val="300"/>
        </w:trPr>
        <w:tc>
          <w:tcPr>
            <w:tcW w:w="1556" w:type="dxa"/>
            <w:tcBorders>
              <w:top w:val="nil"/>
              <w:left w:val="nil"/>
              <w:right w:val="nil"/>
            </w:tcBorders>
            <w:shd w:val="clear" w:color="auto" w:fill="auto"/>
            <w:noWrap/>
            <w:vAlign w:val="bottom"/>
          </w:tcPr>
          <w:p w:rsidR="00457A92" w:rsidRPr="00457A92" w:rsidRDefault="00457A92" w:rsidP="00457A92">
            <w:pPr>
              <w:rPr>
                <w:rFonts w:ascii="Times New Roman" w:eastAsia="Times New Roman" w:hAnsi="Times New Roman" w:cs="Times New Roman"/>
                <w:color w:val="000000"/>
                <w:sz w:val="24"/>
                <w:szCs w:val="24"/>
              </w:rPr>
            </w:pPr>
          </w:p>
        </w:tc>
        <w:tc>
          <w:tcPr>
            <w:tcW w:w="1256" w:type="dxa"/>
            <w:tcBorders>
              <w:top w:val="nil"/>
              <w:left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916" w:type="dxa"/>
            <w:tcBorders>
              <w:top w:val="nil"/>
              <w:left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c>
          <w:tcPr>
            <w:tcW w:w="1752" w:type="dxa"/>
            <w:tcBorders>
              <w:top w:val="nil"/>
              <w:left w:val="nil"/>
              <w:right w:val="nil"/>
            </w:tcBorders>
            <w:shd w:val="clear" w:color="auto" w:fill="auto"/>
            <w:noWrap/>
            <w:vAlign w:val="bottom"/>
          </w:tcPr>
          <w:p w:rsidR="00457A92" w:rsidRPr="00457A92" w:rsidRDefault="00457A92" w:rsidP="00457A92">
            <w:pPr>
              <w:jc w:val="right"/>
              <w:rPr>
                <w:rFonts w:ascii="Times New Roman" w:eastAsia="Times New Roman" w:hAnsi="Times New Roman" w:cs="Times New Roman"/>
                <w:color w:val="000000"/>
                <w:sz w:val="24"/>
                <w:szCs w:val="24"/>
              </w:rPr>
            </w:pPr>
          </w:p>
        </w:tc>
      </w:tr>
      <w:tr w:rsidR="00457A92" w:rsidRPr="00457A92" w:rsidTr="00457A92">
        <w:trPr>
          <w:trHeight w:val="300"/>
        </w:trPr>
        <w:tc>
          <w:tcPr>
            <w:tcW w:w="1556" w:type="dxa"/>
            <w:tcBorders>
              <w:left w:val="nil"/>
              <w:bottom w:val="single" w:sz="4" w:space="0" w:color="auto"/>
              <w:right w:val="nil"/>
            </w:tcBorders>
            <w:shd w:val="clear" w:color="auto" w:fill="auto"/>
            <w:noWrap/>
            <w:vAlign w:val="bottom"/>
            <w:hideMark/>
          </w:tcPr>
          <w:p w:rsidR="00457A92" w:rsidRPr="00457A92" w:rsidRDefault="00457A92" w:rsidP="00457A92">
            <w:pPr>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White</w:t>
            </w:r>
            <w:r>
              <w:rPr>
                <w:rFonts w:ascii="Times New Roman" w:eastAsia="Times New Roman" w:hAnsi="Times New Roman" w:cs="Times New Roman"/>
                <w:color w:val="000000"/>
                <w:sz w:val="24"/>
                <w:szCs w:val="24"/>
              </w:rPr>
              <w:t xml:space="preserve"> </w:t>
            </w:r>
            <w:r w:rsidRPr="00457A92">
              <w:rPr>
                <w:rFonts w:ascii="Times New Roman" w:hAnsi="Times New Roman" w:cs="Times New Roman"/>
                <w:sz w:val="24"/>
                <w:szCs w:val="24"/>
                <w:vertAlign w:val="superscript"/>
              </w:rPr>
              <w:t>(1)</w:t>
            </w:r>
          </w:p>
        </w:tc>
        <w:tc>
          <w:tcPr>
            <w:tcW w:w="1256" w:type="dxa"/>
            <w:tcBorders>
              <w:left w:val="nil"/>
              <w:bottom w:val="single" w:sz="4" w:space="0" w:color="auto"/>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49.1</w:t>
            </w:r>
          </w:p>
        </w:tc>
        <w:tc>
          <w:tcPr>
            <w:tcW w:w="1916" w:type="dxa"/>
            <w:tcBorders>
              <w:left w:val="nil"/>
              <w:bottom w:val="single" w:sz="4" w:space="0" w:color="auto"/>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29.0</w:t>
            </w:r>
          </w:p>
        </w:tc>
        <w:tc>
          <w:tcPr>
            <w:tcW w:w="1752" w:type="dxa"/>
            <w:tcBorders>
              <w:left w:val="nil"/>
              <w:bottom w:val="single" w:sz="4" w:space="0" w:color="auto"/>
              <w:right w:val="nil"/>
            </w:tcBorders>
            <w:shd w:val="clear" w:color="auto" w:fill="auto"/>
            <w:noWrap/>
            <w:vAlign w:val="bottom"/>
            <w:hideMark/>
          </w:tcPr>
          <w:p w:rsidR="00457A92" w:rsidRPr="00457A92" w:rsidRDefault="00457A92" w:rsidP="00457A92">
            <w:pPr>
              <w:jc w:val="right"/>
              <w:rPr>
                <w:rFonts w:ascii="Times New Roman" w:eastAsia="Times New Roman" w:hAnsi="Times New Roman" w:cs="Times New Roman"/>
                <w:color w:val="000000"/>
                <w:sz w:val="24"/>
                <w:szCs w:val="24"/>
              </w:rPr>
            </w:pPr>
            <w:r w:rsidRPr="00457A92">
              <w:rPr>
                <w:rFonts w:ascii="Times New Roman" w:eastAsia="Times New Roman" w:hAnsi="Times New Roman" w:cs="Times New Roman"/>
                <w:color w:val="000000"/>
                <w:sz w:val="24"/>
                <w:szCs w:val="24"/>
              </w:rPr>
              <w:t>-20.1</w:t>
            </w:r>
          </w:p>
        </w:tc>
      </w:tr>
    </w:tbl>
    <w:p w:rsidR="00BB53C9" w:rsidRDefault="00457A92" w:rsidP="00457A92">
      <w:pPr>
        <w:spacing w:after="120" w:line="360" w:lineRule="auto"/>
        <w:jc w:val="both"/>
        <w:rPr>
          <w:rFonts w:ascii="Times New Roman" w:hAnsi="Times New Roman" w:cs="Times New Roman"/>
          <w:sz w:val="24"/>
          <w:szCs w:val="24"/>
        </w:rPr>
      </w:pPr>
      <w:r w:rsidRPr="00457A92">
        <w:rPr>
          <w:rFonts w:ascii="Times New Roman" w:hAnsi="Times New Roman" w:cs="Times New Roman"/>
          <w:sz w:val="24"/>
          <w:szCs w:val="24"/>
          <w:u w:val="single"/>
        </w:rPr>
        <w:t>Note:</w:t>
      </w:r>
      <w:r>
        <w:rPr>
          <w:rFonts w:ascii="Times New Roman" w:hAnsi="Times New Roman" w:cs="Times New Roman"/>
          <w:sz w:val="24"/>
          <w:szCs w:val="24"/>
        </w:rPr>
        <w:t xml:space="preserve"> </w:t>
      </w:r>
      <w:r w:rsidRPr="00457A92">
        <w:rPr>
          <w:rFonts w:ascii="Times New Roman" w:hAnsi="Times New Roman" w:cs="Times New Roman"/>
          <w:sz w:val="24"/>
          <w:szCs w:val="24"/>
          <w:vertAlign w:val="superscript"/>
        </w:rPr>
        <w:t>(1)</w:t>
      </w:r>
      <w:r>
        <w:rPr>
          <w:rFonts w:ascii="Times New Roman" w:hAnsi="Times New Roman" w:cs="Times New Roman"/>
          <w:sz w:val="24"/>
          <w:szCs w:val="24"/>
        </w:rPr>
        <w:t xml:space="preserve"> Both Black and White groups will include Hispanics who identify with this race.</w:t>
      </w:r>
    </w:p>
    <w:p w:rsidR="00D25E82" w:rsidRDefault="00457A92" w:rsidP="008904F7">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employment rates of teens also varied widely across family income groups in 2012, rising steadily with income until those youth living in very affluent families with income over $15</w:t>
      </w:r>
      <w:r w:rsidR="006F482A">
        <w:rPr>
          <w:rFonts w:ascii="Times New Roman" w:hAnsi="Times New Roman" w:cs="Times New Roman"/>
          <w:sz w:val="24"/>
          <w:szCs w:val="24"/>
        </w:rPr>
        <w:t>0</w:t>
      </w:r>
      <w:r>
        <w:rPr>
          <w:rFonts w:ascii="Times New Roman" w:hAnsi="Times New Roman" w:cs="Times New Roman"/>
          <w:sz w:val="24"/>
          <w:szCs w:val="24"/>
        </w:rPr>
        <w:t xml:space="preserve">,000 were reached. To identify variations in teen employment rates across gender/race-ethnic/and family income groups, we estimated such employment rates </w:t>
      </w:r>
      <w:r w:rsidR="00D25E82">
        <w:rPr>
          <w:rFonts w:ascii="Times New Roman" w:hAnsi="Times New Roman" w:cs="Times New Roman"/>
          <w:sz w:val="24"/>
          <w:szCs w:val="24"/>
        </w:rPr>
        <w:t xml:space="preserve">for 60 such demographic/income subgroups in 2012. Selected findings for such subgroups of teens from the bottom to the top of the distribution are displayed in Chart </w:t>
      </w:r>
      <w:r w:rsidR="00370426">
        <w:rPr>
          <w:rFonts w:ascii="Times New Roman" w:hAnsi="Times New Roman" w:cs="Times New Roman"/>
          <w:sz w:val="24"/>
          <w:szCs w:val="24"/>
        </w:rPr>
        <w:t>4</w:t>
      </w:r>
      <w:r w:rsidR="00D25E82">
        <w:rPr>
          <w:rFonts w:ascii="Times New Roman" w:hAnsi="Times New Roman" w:cs="Times New Roman"/>
          <w:sz w:val="24"/>
          <w:szCs w:val="24"/>
        </w:rPr>
        <w:t>.</w:t>
      </w: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370426" w:rsidRDefault="00370426" w:rsidP="008904F7">
      <w:pPr>
        <w:spacing w:after="120" w:line="360" w:lineRule="auto"/>
        <w:ind w:firstLine="720"/>
        <w:jc w:val="both"/>
        <w:rPr>
          <w:rFonts w:ascii="Times New Roman" w:hAnsi="Times New Roman" w:cs="Times New Roman"/>
          <w:sz w:val="24"/>
          <w:szCs w:val="24"/>
        </w:rPr>
      </w:pPr>
    </w:p>
    <w:p w:rsidR="0022322B" w:rsidRDefault="0022322B" w:rsidP="008904F7">
      <w:pPr>
        <w:spacing w:after="120" w:line="360" w:lineRule="auto"/>
        <w:ind w:firstLine="720"/>
        <w:jc w:val="both"/>
        <w:rPr>
          <w:rFonts w:ascii="Times New Roman" w:hAnsi="Times New Roman" w:cs="Times New Roman"/>
          <w:sz w:val="24"/>
          <w:szCs w:val="24"/>
        </w:rPr>
      </w:pPr>
    </w:p>
    <w:p w:rsidR="0022322B" w:rsidRDefault="0022322B" w:rsidP="008904F7">
      <w:pPr>
        <w:spacing w:after="120" w:line="360" w:lineRule="auto"/>
        <w:ind w:firstLine="720"/>
        <w:jc w:val="both"/>
        <w:rPr>
          <w:rFonts w:ascii="Times New Roman" w:hAnsi="Times New Roman" w:cs="Times New Roman"/>
          <w:sz w:val="24"/>
          <w:szCs w:val="24"/>
        </w:rPr>
      </w:pPr>
    </w:p>
    <w:p w:rsidR="0022322B" w:rsidRDefault="0022322B" w:rsidP="008904F7">
      <w:pPr>
        <w:spacing w:after="120" w:line="360" w:lineRule="auto"/>
        <w:ind w:firstLine="720"/>
        <w:jc w:val="both"/>
        <w:rPr>
          <w:rFonts w:ascii="Times New Roman" w:hAnsi="Times New Roman" w:cs="Times New Roman"/>
          <w:sz w:val="24"/>
          <w:szCs w:val="24"/>
        </w:rPr>
      </w:pPr>
    </w:p>
    <w:p w:rsidR="0022322B" w:rsidRPr="00D73919" w:rsidRDefault="0022322B" w:rsidP="0022322B">
      <w:pPr>
        <w:jc w:val="center"/>
        <w:rPr>
          <w:rFonts w:ascii="Times New Roman" w:hAnsi="Times New Roman" w:cs="Times New Roman"/>
          <w:sz w:val="24"/>
          <w:szCs w:val="24"/>
          <w:u w:val="single"/>
        </w:rPr>
      </w:pPr>
      <w:r w:rsidRPr="00D73919">
        <w:rPr>
          <w:rFonts w:ascii="Times New Roman" w:hAnsi="Times New Roman" w:cs="Times New Roman"/>
          <w:sz w:val="24"/>
          <w:szCs w:val="24"/>
          <w:u w:val="single"/>
        </w:rPr>
        <w:lastRenderedPageBreak/>
        <w:t>Chart</w:t>
      </w:r>
      <w:r>
        <w:rPr>
          <w:rFonts w:ascii="Times New Roman" w:hAnsi="Times New Roman" w:cs="Times New Roman"/>
          <w:sz w:val="24"/>
          <w:szCs w:val="24"/>
          <w:u w:val="single"/>
        </w:rPr>
        <w:t xml:space="preserve"> </w:t>
      </w:r>
      <w:r w:rsidR="00370426">
        <w:rPr>
          <w:rFonts w:ascii="Times New Roman" w:hAnsi="Times New Roman" w:cs="Times New Roman"/>
          <w:sz w:val="24"/>
          <w:szCs w:val="24"/>
          <w:u w:val="single"/>
        </w:rPr>
        <w:t>4</w:t>
      </w:r>
      <w:r w:rsidRPr="00D73919">
        <w:rPr>
          <w:rFonts w:ascii="Times New Roman" w:hAnsi="Times New Roman" w:cs="Times New Roman"/>
          <w:sz w:val="24"/>
          <w:szCs w:val="24"/>
          <w:u w:val="single"/>
        </w:rPr>
        <w:t>:</w:t>
      </w:r>
    </w:p>
    <w:p w:rsidR="0022322B" w:rsidRPr="00D73919" w:rsidRDefault="0022322B" w:rsidP="0022322B">
      <w:pPr>
        <w:jc w:val="center"/>
        <w:rPr>
          <w:rFonts w:ascii="Times New Roman" w:eastAsia="Times New Roman" w:hAnsi="Times New Roman" w:cs="Times New Roman"/>
          <w:color w:val="000000"/>
          <w:sz w:val="24"/>
          <w:szCs w:val="24"/>
          <w:u w:val="single"/>
        </w:rPr>
      </w:pPr>
      <w:r w:rsidRPr="00D73919">
        <w:rPr>
          <w:rFonts w:ascii="Times New Roman" w:eastAsia="Times New Roman" w:hAnsi="Times New Roman" w:cs="Times New Roman"/>
          <w:color w:val="000000"/>
          <w:sz w:val="24"/>
          <w:szCs w:val="24"/>
          <w:u w:val="single"/>
        </w:rPr>
        <w:t>Employment-Population Ratio of 16-to-19 Year Olds in Selected Gender, Race-Ethnic, and Family Income Groups, 2012 (Annual Averages in %)</w:t>
      </w:r>
    </w:p>
    <w:p w:rsidR="0022322B" w:rsidRDefault="0022322B" w:rsidP="0022322B">
      <w:pPr>
        <w:spacing w:before="120" w:line="360" w:lineRule="auto"/>
        <w:ind w:firstLine="720"/>
        <w:jc w:val="both"/>
        <w:rPr>
          <w:rFonts w:ascii="Times New Roman" w:hAnsi="Times New Roman" w:cs="Times New Roman"/>
          <w:sz w:val="24"/>
          <w:szCs w:val="24"/>
        </w:rPr>
      </w:pPr>
      <w:r>
        <w:rPr>
          <w:noProof/>
        </w:rPr>
        <w:drawing>
          <wp:inline distT="0" distB="0" distL="0" distR="0" wp14:anchorId="4965FF00" wp14:editId="68F47E43">
            <wp:extent cx="5305425" cy="30003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E82" w:rsidRDefault="00D25E82" w:rsidP="008904F7">
      <w:pPr>
        <w:spacing w:after="120" w:line="360" w:lineRule="auto"/>
        <w:ind w:firstLine="720"/>
        <w:jc w:val="both"/>
        <w:rPr>
          <w:rFonts w:ascii="Times New Roman" w:hAnsi="Times New Roman" w:cs="Times New Roman"/>
          <w:sz w:val="24"/>
          <w:szCs w:val="24"/>
        </w:rPr>
      </w:pPr>
    </w:p>
    <w:p w:rsidR="008904F7" w:rsidRDefault="00F733D8" w:rsidP="008904F7">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teen employment rates varied to an extraordinarily high degree. At the bottom of the distribution were the employment rates of Black male teens and female teens from low income families (income under $20,000). Only 11% of such Black males and nearly 15% of Black females were working in 2012. Among Hispanic women and men from lower middle to middle income families ($20,000-$60,000), the employment rates ranged from 22 to 24 percent. At the top of the distribution w</w:t>
      </w:r>
      <w:r w:rsidR="006F482A">
        <w:rPr>
          <w:rFonts w:ascii="Times New Roman" w:hAnsi="Times New Roman" w:cs="Times New Roman"/>
          <w:sz w:val="24"/>
          <w:szCs w:val="24"/>
        </w:rPr>
        <w:t xml:space="preserve">ere the 30% employment </w:t>
      </w:r>
      <w:r>
        <w:rPr>
          <w:rFonts w:ascii="Times New Roman" w:hAnsi="Times New Roman" w:cs="Times New Roman"/>
          <w:sz w:val="24"/>
          <w:szCs w:val="24"/>
        </w:rPr>
        <w:t>r</w:t>
      </w:r>
      <w:r w:rsidR="006F482A">
        <w:rPr>
          <w:rFonts w:ascii="Times New Roman" w:hAnsi="Times New Roman" w:cs="Times New Roman"/>
          <w:sz w:val="24"/>
          <w:szCs w:val="24"/>
        </w:rPr>
        <w:t>a</w:t>
      </w:r>
      <w:r>
        <w:rPr>
          <w:rFonts w:ascii="Times New Roman" w:hAnsi="Times New Roman" w:cs="Times New Roman"/>
          <w:sz w:val="24"/>
          <w:szCs w:val="24"/>
        </w:rPr>
        <w:t>te of Black women from the most affluent group of families ($150,000) and White women from upper middle income families (38%). The employment rate of this last group of teens was 3.3 times as high as that of the employment rate of the group with the lowest employment rate (low income Black males).</w:t>
      </w:r>
    </w:p>
    <w:p w:rsidR="008904F7" w:rsidRDefault="008904F7" w:rsidP="008904F7">
      <w:pPr>
        <w:spacing w:after="120" w:line="360" w:lineRule="auto"/>
        <w:ind w:firstLine="720"/>
        <w:jc w:val="both"/>
        <w:rPr>
          <w:rFonts w:ascii="Times New Roman" w:hAnsi="Times New Roman" w:cs="Times New Roman"/>
          <w:sz w:val="24"/>
          <w:szCs w:val="24"/>
        </w:rPr>
      </w:pPr>
    </w:p>
    <w:p w:rsidR="008904F7" w:rsidRDefault="008904F7" w:rsidP="008904F7">
      <w:pPr>
        <w:spacing w:after="120" w:line="360" w:lineRule="auto"/>
        <w:ind w:firstLine="720"/>
        <w:jc w:val="both"/>
        <w:rPr>
          <w:rFonts w:ascii="Times New Roman" w:hAnsi="Times New Roman" w:cs="Times New Roman"/>
          <w:sz w:val="24"/>
          <w:szCs w:val="24"/>
        </w:rPr>
      </w:pPr>
    </w:p>
    <w:p w:rsidR="008904F7" w:rsidRDefault="008904F7" w:rsidP="008904F7">
      <w:pPr>
        <w:jc w:val="both"/>
        <w:rPr>
          <w:rFonts w:ascii="Times New Roman" w:hAnsi="Times New Roman" w:cs="Times New Roman"/>
          <w:sz w:val="24"/>
          <w:szCs w:val="24"/>
        </w:rPr>
      </w:pPr>
    </w:p>
    <w:p w:rsidR="00080E28" w:rsidRPr="00462DEB" w:rsidRDefault="00CB6BDA" w:rsidP="00462DEB">
      <w:pPr>
        <w:pStyle w:val="Heading1"/>
      </w:pPr>
      <w:r w:rsidRPr="00462DEB">
        <w:lastRenderedPageBreak/>
        <w:t>Trends in Teen Employment Rates in Individual OECD Countries Between 2000 and 2012</w:t>
      </w:r>
    </w:p>
    <w:p w:rsidR="006C5CCF" w:rsidRDefault="006C5CCF" w:rsidP="001601F5">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place the findings on teen employment developments in the U.S. in comparative perspective, we examined teen employment rates in 31 Organization for Economic Cooperation and Development (OECD) nations over the 2000-2012 time period.</w:t>
      </w:r>
      <w:r w:rsidR="00DE2850" w:rsidRPr="00DE2850">
        <w:rPr>
          <w:rStyle w:val="FootnoteReference"/>
          <w:rFonts w:ascii="Times New Roman" w:hAnsi="Times New Roman" w:cs="Times New Roman"/>
          <w:sz w:val="24"/>
          <w:szCs w:val="24"/>
        </w:rPr>
        <w:t xml:space="preserve"> </w:t>
      </w:r>
      <w:r w:rsidR="00DE2850">
        <w:rPr>
          <w:rStyle w:val="FootnoteReference"/>
          <w:rFonts w:ascii="Times New Roman" w:hAnsi="Times New Roman" w:cs="Times New Roman"/>
          <w:sz w:val="24"/>
          <w:szCs w:val="24"/>
        </w:rPr>
        <w:footnoteReference w:id="7"/>
      </w:r>
      <w:r w:rsidR="00DE2850" w:rsidRPr="00901A49">
        <w:rPr>
          <w:rFonts w:ascii="Times New Roman" w:hAnsi="Times New Roman" w:cs="Times New Roman"/>
          <w:sz w:val="24"/>
          <w:szCs w:val="24"/>
        </w:rPr>
        <w:t xml:space="preserve"> </w:t>
      </w:r>
      <w:r w:rsidR="00DE2850">
        <w:rPr>
          <w:rFonts w:ascii="Times New Roman" w:hAnsi="Times New Roman" w:cs="Times New Roman"/>
          <w:sz w:val="24"/>
          <w:szCs w:val="24"/>
        </w:rPr>
        <w:t>These 31 countries were located in North and South America, Europe</w:t>
      </w:r>
      <w:r w:rsidR="006849EC">
        <w:rPr>
          <w:rFonts w:ascii="Times New Roman" w:hAnsi="Times New Roman" w:cs="Times New Roman"/>
          <w:sz w:val="24"/>
          <w:szCs w:val="24"/>
        </w:rPr>
        <w:t xml:space="preserve">, Asia (Japan, South Korea), Australia, and New Zealand). Data for </w:t>
      </w:r>
      <w:r w:rsidR="00601611">
        <w:rPr>
          <w:rFonts w:ascii="Times New Roman" w:hAnsi="Times New Roman" w:cs="Times New Roman"/>
          <w:sz w:val="24"/>
          <w:szCs w:val="24"/>
        </w:rPr>
        <w:t xml:space="preserve">teens in </w:t>
      </w:r>
      <w:r w:rsidR="006849EC">
        <w:rPr>
          <w:rFonts w:ascii="Times New Roman" w:hAnsi="Times New Roman" w:cs="Times New Roman"/>
          <w:sz w:val="24"/>
          <w:szCs w:val="24"/>
        </w:rPr>
        <w:t xml:space="preserve">all OECD countries together </w:t>
      </w:r>
      <w:r w:rsidR="00601611">
        <w:rPr>
          <w:rFonts w:ascii="Times New Roman" w:hAnsi="Times New Roman" w:cs="Times New Roman"/>
          <w:sz w:val="24"/>
          <w:szCs w:val="24"/>
        </w:rPr>
        <w:t xml:space="preserve">also </w:t>
      </w:r>
      <w:r w:rsidR="006849EC">
        <w:rPr>
          <w:rFonts w:ascii="Times New Roman" w:hAnsi="Times New Roman" w:cs="Times New Roman"/>
          <w:sz w:val="24"/>
          <w:szCs w:val="24"/>
        </w:rPr>
        <w:t>are also presented.</w:t>
      </w:r>
    </w:p>
    <w:p w:rsidR="009A73C7" w:rsidRDefault="006849EC" w:rsidP="001601F5">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calendar y</w:t>
      </w:r>
      <w:r w:rsidR="00D817D3">
        <w:rPr>
          <w:rFonts w:ascii="Times New Roman" w:hAnsi="Times New Roman" w:cs="Times New Roman"/>
          <w:sz w:val="24"/>
          <w:szCs w:val="24"/>
        </w:rPr>
        <w:t>e</w:t>
      </w:r>
      <w:r>
        <w:rPr>
          <w:rFonts w:ascii="Times New Roman" w:hAnsi="Times New Roman" w:cs="Times New Roman"/>
          <w:sz w:val="24"/>
          <w:szCs w:val="24"/>
        </w:rPr>
        <w:t>ar 2000, teen employment rates in these 31 OECD nations varied quite widely, ranging from lows of 6 to 7 percent in Belgium, Poland, and the Slovak Republic to highs of 51 to 56 percent</w:t>
      </w:r>
      <w:r w:rsidR="00D817D3">
        <w:rPr>
          <w:rFonts w:ascii="Times New Roman" w:hAnsi="Times New Roman" w:cs="Times New Roman"/>
          <w:sz w:val="24"/>
          <w:szCs w:val="24"/>
        </w:rPr>
        <w:t xml:space="preserve"> in Iceland, Switzerland, and the United Kingdom. The teen employment rate for all OECD coun</w:t>
      </w:r>
      <w:r w:rsidR="009A73C7">
        <w:rPr>
          <w:rFonts w:ascii="Times New Roman" w:hAnsi="Times New Roman" w:cs="Times New Roman"/>
          <w:sz w:val="24"/>
          <w:szCs w:val="24"/>
        </w:rPr>
        <w:t>tries combined was 30.2%. (</w:t>
      </w:r>
      <w:r w:rsidR="00D817D3">
        <w:rPr>
          <w:rFonts w:ascii="Times New Roman" w:hAnsi="Times New Roman" w:cs="Times New Roman"/>
          <w:sz w:val="24"/>
          <w:szCs w:val="24"/>
        </w:rPr>
        <w:t xml:space="preserve">Table </w:t>
      </w:r>
      <w:r w:rsidR="00601611">
        <w:rPr>
          <w:rFonts w:ascii="Times New Roman" w:hAnsi="Times New Roman" w:cs="Times New Roman"/>
          <w:sz w:val="24"/>
          <w:szCs w:val="24"/>
        </w:rPr>
        <w:t>2</w:t>
      </w:r>
      <w:r w:rsidR="00D817D3">
        <w:rPr>
          <w:rFonts w:ascii="Times New Roman" w:hAnsi="Times New Roman" w:cs="Times New Roman"/>
          <w:sz w:val="24"/>
          <w:szCs w:val="24"/>
        </w:rPr>
        <w:t>).</w:t>
      </w: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E76D42" w:rsidRDefault="00E76D42" w:rsidP="001601F5">
      <w:pPr>
        <w:spacing w:before="120" w:line="360" w:lineRule="auto"/>
        <w:ind w:firstLine="720"/>
        <w:jc w:val="both"/>
        <w:rPr>
          <w:rFonts w:ascii="Times New Roman" w:hAnsi="Times New Roman" w:cs="Times New Roman"/>
          <w:sz w:val="24"/>
          <w:szCs w:val="24"/>
        </w:rPr>
      </w:pPr>
    </w:p>
    <w:p w:rsidR="00E76D42" w:rsidRDefault="00E76D42" w:rsidP="001601F5">
      <w:pPr>
        <w:spacing w:before="120" w:line="360" w:lineRule="auto"/>
        <w:ind w:firstLine="720"/>
        <w:jc w:val="both"/>
        <w:rPr>
          <w:rFonts w:ascii="Times New Roman" w:hAnsi="Times New Roman" w:cs="Times New Roman"/>
          <w:sz w:val="24"/>
          <w:szCs w:val="24"/>
        </w:rPr>
      </w:pPr>
    </w:p>
    <w:p w:rsidR="00E76D42" w:rsidRDefault="00E76D42"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9A73C7" w:rsidRDefault="009A73C7" w:rsidP="009A73C7">
      <w:pPr>
        <w:jc w:val="center"/>
        <w:rPr>
          <w:rFonts w:ascii="Times" w:hAnsi="Times" w:cs="Times"/>
          <w:sz w:val="24"/>
          <w:szCs w:val="24"/>
          <w:u w:val="single"/>
        </w:rPr>
      </w:pPr>
      <w:r>
        <w:rPr>
          <w:rFonts w:ascii="Times" w:hAnsi="Times" w:cs="Times"/>
          <w:sz w:val="24"/>
          <w:szCs w:val="24"/>
          <w:u w:val="single"/>
        </w:rPr>
        <w:lastRenderedPageBreak/>
        <w:t xml:space="preserve">Table </w:t>
      </w:r>
      <w:r w:rsidR="00601611">
        <w:rPr>
          <w:rFonts w:ascii="Times" w:hAnsi="Times" w:cs="Times"/>
          <w:sz w:val="24"/>
          <w:szCs w:val="24"/>
          <w:u w:val="single"/>
        </w:rPr>
        <w:t>2</w:t>
      </w:r>
      <w:r>
        <w:rPr>
          <w:rFonts w:ascii="Times" w:hAnsi="Times" w:cs="Times"/>
          <w:sz w:val="24"/>
          <w:szCs w:val="24"/>
          <w:u w:val="single"/>
        </w:rPr>
        <w:t xml:space="preserve">: </w:t>
      </w:r>
    </w:p>
    <w:p w:rsidR="009A73C7" w:rsidRDefault="009A73C7" w:rsidP="009A73C7">
      <w:pPr>
        <w:jc w:val="center"/>
        <w:rPr>
          <w:rFonts w:ascii="Times" w:hAnsi="Times" w:cs="Times"/>
          <w:sz w:val="24"/>
          <w:szCs w:val="24"/>
          <w:u w:val="single"/>
        </w:rPr>
      </w:pPr>
      <w:r>
        <w:rPr>
          <w:rFonts w:ascii="Times" w:hAnsi="Times" w:cs="Times"/>
          <w:sz w:val="24"/>
          <w:szCs w:val="24"/>
          <w:u w:val="single"/>
        </w:rPr>
        <w:t xml:space="preserve">Trends in the E/P Ratios of Teens in Individual OECD Countries 2000-2012 </w:t>
      </w:r>
    </w:p>
    <w:p w:rsidR="009A73C7" w:rsidRDefault="009A73C7" w:rsidP="009A73C7">
      <w:pPr>
        <w:jc w:val="center"/>
        <w:rPr>
          <w:rFonts w:ascii="Times" w:hAnsi="Times" w:cs="Times"/>
          <w:sz w:val="24"/>
          <w:szCs w:val="24"/>
          <w:u w:val="single"/>
        </w:rPr>
      </w:pPr>
      <w:r>
        <w:rPr>
          <w:rFonts w:ascii="Times" w:hAnsi="Times" w:cs="Times"/>
          <w:sz w:val="24"/>
          <w:szCs w:val="24"/>
          <w:u w:val="single"/>
        </w:rPr>
        <w:t>(in %)</w:t>
      </w:r>
    </w:p>
    <w:p w:rsidR="009A73C7" w:rsidRPr="004F31BF" w:rsidRDefault="009A73C7" w:rsidP="009A73C7">
      <w:pPr>
        <w:jc w:val="center"/>
        <w:rPr>
          <w:rFonts w:ascii="Times" w:hAnsi="Times" w:cs="Times"/>
          <w:sz w:val="12"/>
          <w:szCs w:val="12"/>
          <w:u w:val="single"/>
        </w:rPr>
      </w:pPr>
    </w:p>
    <w:tbl>
      <w:tblPr>
        <w:tblW w:w="7161" w:type="dxa"/>
        <w:jc w:val="center"/>
        <w:tblLook w:val="04A0" w:firstRow="1" w:lastRow="0" w:firstColumn="1" w:lastColumn="0" w:noHBand="0" w:noVBand="1"/>
      </w:tblPr>
      <w:tblGrid>
        <w:gridCol w:w="2278"/>
        <w:gridCol w:w="1483"/>
        <w:gridCol w:w="1080"/>
        <w:gridCol w:w="1597"/>
        <w:gridCol w:w="723"/>
      </w:tblGrid>
      <w:tr w:rsidR="009A73C7" w:rsidRPr="004F31BF" w:rsidTr="006B1FCB">
        <w:trPr>
          <w:trHeight w:val="331"/>
          <w:jc w:val="center"/>
        </w:trPr>
        <w:tc>
          <w:tcPr>
            <w:tcW w:w="2278" w:type="dxa"/>
            <w:tcBorders>
              <w:top w:val="single" w:sz="4" w:space="0" w:color="auto"/>
              <w:left w:val="nil"/>
              <w:bottom w:val="single" w:sz="4" w:space="0" w:color="auto"/>
              <w:right w:val="nil"/>
            </w:tcBorders>
            <w:shd w:val="clear" w:color="auto" w:fill="auto"/>
            <w:vAlign w:val="bottom"/>
            <w:hideMark/>
          </w:tcPr>
          <w:p w:rsidR="009A73C7" w:rsidRPr="004F31BF" w:rsidRDefault="009A73C7" w:rsidP="0025650E">
            <w:pPr>
              <w:rPr>
                <w:rFonts w:ascii="Times New Roman" w:eastAsia="Times New Roman" w:hAnsi="Times New Roman" w:cs="Times New Roman"/>
                <w:color w:val="000000"/>
                <w:sz w:val="24"/>
                <w:szCs w:val="24"/>
              </w:rPr>
            </w:pPr>
            <w:r w:rsidRPr="004F31BF">
              <w:rPr>
                <w:rFonts w:ascii="Times New Roman" w:eastAsia="Times New Roman" w:hAnsi="Times New Roman" w:cs="Times New Roman"/>
                <w:color w:val="000000"/>
                <w:sz w:val="24"/>
                <w:szCs w:val="24"/>
              </w:rPr>
              <w:t>Country</w:t>
            </w:r>
          </w:p>
        </w:tc>
        <w:tc>
          <w:tcPr>
            <w:tcW w:w="1483" w:type="dxa"/>
            <w:tcBorders>
              <w:top w:val="single" w:sz="4" w:space="0" w:color="auto"/>
              <w:left w:val="nil"/>
              <w:bottom w:val="single" w:sz="4" w:space="0" w:color="auto"/>
              <w:right w:val="nil"/>
            </w:tcBorders>
            <w:shd w:val="clear" w:color="auto" w:fill="auto"/>
            <w:vAlign w:val="bottom"/>
            <w:hideMark/>
          </w:tcPr>
          <w:p w:rsidR="009A73C7" w:rsidRPr="004F31BF" w:rsidRDefault="009A73C7" w:rsidP="006B1FCB">
            <w:pPr>
              <w:jc w:val="right"/>
              <w:rPr>
                <w:rFonts w:ascii="Times New Roman" w:eastAsia="Times New Roman" w:hAnsi="Times New Roman" w:cs="Times New Roman"/>
                <w:color w:val="000000"/>
                <w:sz w:val="24"/>
                <w:szCs w:val="24"/>
              </w:rPr>
            </w:pPr>
            <w:r w:rsidRPr="004F31BF">
              <w:rPr>
                <w:rFonts w:ascii="Times New Roman" w:eastAsia="Times New Roman" w:hAnsi="Times New Roman" w:cs="Times New Roman"/>
                <w:color w:val="000000"/>
                <w:sz w:val="24"/>
                <w:szCs w:val="24"/>
              </w:rPr>
              <w:t>2000</w:t>
            </w:r>
          </w:p>
        </w:tc>
        <w:tc>
          <w:tcPr>
            <w:tcW w:w="1080" w:type="dxa"/>
            <w:tcBorders>
              <w:top w:val="single" w:sz="4" w:space="0" w:color="auto"/>
              <w:left w:val="nil"/>
              <w:bottom w:val="single" w:sz="4" w:space="0" w:color="auto"/>
              <w:right w:val="nil"/>
            </w:tcBorders>
            <w:shd w:val="clear" w:color="auto" w:fill="auto"/>
            <w:vAlign w:val="bottom"/>
            <w:hideMark/>
          </w:tcPr>
          <w:p w:rsidR="009A73C7" w:rsidRPr="004F31BF" w:rsidRDefault="009A73C7" w:rsidP="006B1FCB">
            <w:pPr>
              <w:jc w:val="right"/>
              <w:rPr>
                <w:rFonts w:ascii="Times New Roman" w:eastAsia="Times New Roman" w:hAnsi="Times New Roman" w:cs="Times New Roman"/>
                <w:color w:val="000000"/>
                <w:sz w:val="24"/>
                <w:szCs w:val="24"/>
              </w:rPr>
            </w:pPr>
            <w:r w:rsidRPr="004F31BF">
              <w:rPr>
                <w:rFonts w:ascii="Times New Roman" w:eastAsia="Times New Roman" w:hAnsi="Times New Roman" w:cs="Times New Roman"/>
                <w:color w:val="000000"/>
                <w:sz w:val="24"/>
                <w:szCs w:val="24"/>
              </w:rPr>
              <w:t>2012</w:t>
            </w:r>
          </w:p>
        </w:tc>
        <w:tc>
          <w:tcPr>
            <w:tcW w:w="1597" w:type="dxa"/>
            <w:tcBorders>
              <w:top w:val="single" w:sz="4" w:space="0" w:color="auto"/>
              <w:left w:val="nil"/>
              <w:bottom w:val="single" w:sz="4" w:space="0" w:color="auto"/>
              <w:right w:val="nil"/>
            </w:tcBorders>
            <w:shd w:val="clear" w:color="auto" w:fill="auto"/>
            <w:noWrap/>
            <w:vAlign w:val="bottom"/>
            <w:hideMark/>
          </w:tcPr>
          <w:p w:rsidR="009A73C7" w:rsidRPr="004F31BF" w:rsidRDefault="009A73C7" w:rsidP="006B1FCB">
            <w:pPr>
              <w:jc w:val="right"/>
              <w:rPr>
                <w:rFonts w:ascii="Times New Roman" w:eastAsia="Times New Roman" w:hAnsi="Times New Roman" w:cs="Times New Roman"/>
                <w:color w:val="000000"/>
                <w:sz w:val="24"/>
                <w:szCs w:val="24"/>
              </w:rPr>
            </w:pPr>
            <w:r w:rsidRPr="004F31BF">
              <w:rPr>
                <w:rFonts w:ascii="Times New Roman" w:eastAsia="Times New Roman" w:hAnsi="Times New Roman" w:cs="Times New Roman"/>
                <w:color w:val="000000"/>
                <w:sz w:val="24"/>
                <w:szCs w:val="24"/>
              </w:rPr>
              <w:t xml:space="preserve">Percentage Point </w:t>
            </w:r>
            <w:r>
              <w:rPr>
                <w:rFonts w:ascii="Times New Roman" w:eastAsia="Times New Roman" w:hAnsi="Times New Roman" w:cs="Times New Roman"/>
                <w:color w:val="000000"/>
                <w:sz w:val="24"/>
                <w:szCs w:val="24"/>
              </w:rPr>
              <w:t>C</w:t>
            </w:r>
            <w:r w:rsidRPr="004F31BF">
              <w:rPr>
                <w:rFonts w:ascii="Times New Roman" w:eastAsia="Times New Roman" w:hAnsi="Times New Roman" w:cs="Times New Roman"/>
                <w:color w:val="000000"/>
                <w:sz w:val="24"/>
                <w:szCs w:val="24"/>
              </w:rPr>
              <w:t>hange</w:t>
            </w:r>
          </w:p>
        </w:tc>
        <w:tc>
          <w:tcPr>
            <w:tcW w:w="723" w:type="dxa"/>
            <w:tcBorders>
              <w:top w:val="single" w:sz="4" w:space="0" w:color="auto"/>
              <w:left w:val="nil"/>
              <w:bottom w:val="single" w:sz="4" w:space="0" w:color="auto"/>
              <w:right w:val="nil"/>
            </w:tcBorders>
            <w:shd w:val="clear" w:color="auto" w:fill="auto"/>
            <w:noWrap/>
            <w:vAlign w:val="bottom"/>
            <w:hideMark/>
          </w:tcPr>
          <w:p w:rsidR="009A73C7" w:rsidRPr="004F31BF" w:rsidRDefault="009A73C7" w:rsidP="006B1FCB">
            <w:pPr>
              <w:jc w:val="right"/>
              <w:rPr>
                <w:rFonts w:ascii="Times New Roman" w:eastAsia="Times New Roman" w:hAnsi="Times New Roman" w:cs="Times New Roman"/>
                <w:color w:val="000000"/>
                <w:sz w:val="24"/>
                <w:szCs w:val="24"/>
              </w:rPr>
            </w:pPr>
            <w:r w:rsidRPr="004F31BF">
              <w:rPr>
                <w:rFonts w:ascii="Times New Roman" w:eastAsia="Times New Roman" w:hAnsi="Times New Roman" w:cs="Times New Roman"/>
                <w:color w:val="000000"/>
                <w:sz w:val="24"/>
                <w:szCs w:val="24"/>
              </w:rPr>
              <w:t>Rank 2012</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Australia</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49.7</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45.7</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-4</w:t>
            </w:r>
            <w:r w:rsidR="006B1FCB">
              <w:rPr>
                <w:rFonts w:ascii="Times New Roman" w:hAnsi="Times New Roman" w:cs="Times New Roman"/>
                <w:sz w:val="24"/>
                <w:szCs w:val="24"/>
              </w:rPr>
              <w:t>.0</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Austria</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37.6</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38.7</w:t>
            </w:r>
          </w:p>
        </w:tc>
        <w:tc>
          <w:tcPr>
            <w:tcW w:w="1597" w:type="dxa"/>
            <w:tcBorders>
              <w:top w:val="nil"/>
              <w:left w:val="nil"/>
              <w:bottom w:val="nil"/>
              <w:right w:val="nil"/>
            </w:tcBorders>
            <w:shd w:val="clear" w:color="auto" w:fill="auto"/>
            <w:noWrap/>
            <w:vAlign w:val="center"/>
            <w:hideMark/>
          </w:tcPr>
          <w:p w:rsidR="009A73C7" w:rsidRPr="007920BD" w:rsidRDefault="006B1FCB" w:rsidP="006B1FCB">
            <w:pPr>
              <w:jc w:val="right"/>
              <w:rPr>
                <w:rFonts w:ascii="Times New Roman" w:hAnsi="Times New Roman" w:cs="Times New Roman"/>
                <w:sz w:val="24"/>
                <w:szCs w:val="24"/>
              </w:rPr>
            </w:pPr>
            <w:r>
              <w:rPr>
                <w:rFonts w:ascii="Times New Roman" w:hAnsi="Times New Roman" w:cs="Times New Roman"/>
                <w:sz w:val="24"/>
                <w:szCs w:val="24"/>
              </w:rPr>
              <w:t>+</w:t>
            </w:r>
            <w:r w:rsidR="009A73C7" w:rsidRPr="007920BD">
              <w:rPr>
                <w:rFonts w:ascii="Times New Roman" w:hAnsi="Times New Roman" w:cs="Times New Roman"/>
                <w:sz w:val="24"/>
                <w:szCs w:val="24"/>
              </w:rPr>
              <w:t>1.1</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7</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Belgium</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7.4</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6</w:t>
            </w:r>
            <w:r>
              <w:rPr>
                <w:rFonts w:ascii="Times New Roman" w:hAnsi="Times New Roman" w:cs="Times New Roman"/>
                <w:color w:val="000000"/>
                <w:sz w:val="24"/>
                <w:szCs w:val="24"/>
              </w:rPr>
              <w:t>.0</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-1.4</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23</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Canada</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43.3</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39.6</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-3.7</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6</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Chile</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10.2</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15</w:t>
            </w:r>
            <w:r>
              <w:rPr>
                <w:rFonts w:ascii="Times New Roman" w:hAnsi="Times New Roman" w:cs="Times New Roman"/>
                <w:color w:val="000000"/>
                <w:sz w:val="24"/>
                <w:szCs w:val="24"/>
              </w:rPr>
              <w:t>.0</w:t>
            </w:r>
          </w:p>
        </w:tc>
        <w:tc>
          <w:tcPr>
            <w:tcW w:w="1597" w:type="dxa"/>
            <w:tcBorders>
              <w:top w:val="nil"/>
              <w:left w:val="nil"/>
              <w:bottom w:val="nil"/>
              <w:right w:val="nil"/>
            </w:tcBorders>
            <w:shd w:val="clear" w:color="auto" w:fill="auto"/>
            <w:noWrap/>
            <w:vAlign w:val="center"/>
            <w:hideMark/>
          </w:tcPr>
          <w:p w:rsidR="009A73C7" w:rsidRPr="007920BD" w:rsidRDefault="006B1FCB" w:rsidP="006B1FCB">
            <w:pPr>
              <w:jc w:val="right"/>
              <w:rPr>
                <w:rFonts w:ascii="Times New Roman" w:hAnsi="Times New Roman" w:cs="Times New Roman"/>
                <w:sz w:val="24"/>
                <w:szCs w:val="24"/>
              </w:rPr>
            </w:pPr>
            <w:r>
              <w:rPr>
                <w:rFonts w:ascii="Times New Roman" w:hAnsi="Times New Roman" w:cs="Times New Roman"/>
                <w:sz w:val="24"/>
                <w:szCs w:val="24"/>
              </w:rPr>
              <w:t>+</w:t>
            </w:r>
            <w:r w:rsidR="009A73C7" w:rsidRPr="007920BD">
              <w:rPr>
                <w:rFonts w:ascii="Times New Roman" w:hAnsi="Times New Roman" w:cs="Times New Roman"/>
                <w:sz w:val="24"/>
                <w:szCs w:val="24"/>
              </w:rPr>
              <w:t>4.8</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17</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Czech Republic</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9.9</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3.5</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-6.4</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28</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Denmark</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59</w:t>
            </w:r>
            <w:r w:rsidR="006B1FCB">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46.3</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-12.7</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Finland</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26.8</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24.7</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-2.1</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14</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France</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10.4</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9.7</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-0.7</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19</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Germany</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30.5</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25.9</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-4.6</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13</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Greece</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9.1</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2.8</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-6.3</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29</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Hungary</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8.2</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1.8</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-6.4</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31</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Iceland</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56.4</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58.9</w:t>
            </w:r>
          </w:p>
        </w:tc>
        <w:tc>
          <w:tcPr>
            <w:tcW w:w="1597" w:type="dxa"/>
            <w:tcBorders>
              <w:top w:val="nil"/>
              <w:left w:val="nil"/>
              <w:bottom w:val="nil"/>
              <w:right w:val="nil"/>
            </w:tcBorders>
            <w:shd w:val="clear" w:color="auto" w:fill="auto"/>
            <w:noWrap/>
            <w:vAlign w:val="center"/>
            <w:hideMark/>
          </w:tcPr>
          <w:p w:rsidR="009A73C7" w:rsidRPr="007920BD" w:rsidRDefault="006B1FCB" w:rsidP="006B1FCB">
            <w:pPr>
              <w:jc w:val="right"/>
              <w:rPr>
                <w:rFonts w:ascii="Times New Roman" w:hAnsi="Times New Roman" w:cs="Times New Roman"/>
                <w:sz w:val="24"/>
                <w:szCs w:val="24"/>
              </w:rPr>
            </w:pPr>
            <w:r>
              <w:rPr>
                <w:rFonts w:ascii="Times New Roman" w:hAnsi="Times New Roman" w:cs="Times New Roman"/>
                <w:sz w:val="24"/>
                <w:szCs w:val="24"/>
              </w:rPr>
              <w:t>+</w:t>
            </w:r>
            <w:r w:rsidR="009A73C7" w:rsidRPr="007920BD">
              <w:rPr>
                <w:rFonts w:ascii="Times New Roman" w:hAnsi="Times New Roman" w:cs="Times New Roman"/>
                <w:sz w:val="24"/>
                <w:szCs w:val="24"/>
              </w:rPr>
              <w:t>2.5</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Ireland</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29</w:t>
            </w:r>
            <w:r w:rsidR="006B1FCB">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9.2</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-19.8</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20</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Italy</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11.8</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4.6</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-7.2</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26</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Japan</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15.4</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13.5</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-1.9</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18</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Korea</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10.3</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7</w:t>
            </w:r>
            <w:r>
              <w:rPr>
                <w:rFonts w:ascii="Times New Roman" w:hAnsi="Times New Roman" w:cs="Times New Roman"/>
                <w:color w:val="000000"/>
                <w:sz w:val="24"/>
                <w:szCs w:val="24"/>
              </w:rPr>
              <w:t>.0</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-3.3</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22</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Luxembourg</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9.7</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7.1</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-2.6</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21</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Mexico</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40.4</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31.5</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-8.9</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11</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Netherlands</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55</w:t>
            </w:r>
            <w:r w:rsidR="006B1FCB">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53.4</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-1.6</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New Zealand</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44</w:t>
            </w:r>
            <w:r w:rsidR="006B1FCB">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32.9</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-11.1</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10</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Norway</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43.9</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37.8</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-6.1</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8</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Poland</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6.6</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4.5</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-2.1</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27</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Portugal</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22</w:t>
            </w:r>
            <w:r w:rsidR="006B1FCB">
              <w:rPr>
                <w:rFonts w:ascii="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5.6</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-16.4</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24</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Slovak Republic</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6.6</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2.5</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-4.1</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30</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Spain</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18.6</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4.8</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-13.8</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25</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Sweden</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29.3</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19.5</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-9.8</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16</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Switzerland</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51.3</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50.4</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-0.9</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w:t>
            </w:r>
          </w:p>
        </w:tc>
      </w:tr>
      <w:tr w:rsidR="009A73C7" w:rsidRPr="007920BD" w:rsidTr="006B1FCB">
        <w:trPr>
          <w:trHeight w:hRule="exact" w:val="346"/>
          <w:jc w:val="center"/>
        </w:trPr>
        <w:tc>
          <w:tcPr>
            <w:tcW w:w="2278" w:type="dxa"/>
            <w:tcBorders>
              <w:top w:val="nil"/>
              <w:left w:val="nil"/>
              <w:bottom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Turkey</w:t>
            </w:r>
          </w:p>
        </w:tc>
        <w:tc>
          <w:tcPr>
            <w:tcW w:w="148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31.7</w:t>
            </w:r>
          </w:p>
        </w:tc>
        <w:tc>
          <w:tcPr>
            <w:tcW w:w="1080"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21.6</w:t>
            </w:r>
          </w:p>
        </w:tc>
        <w:tc>
          <w:tcPr>
            <w:tcW w:w="1597"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-10.1</w:t>
            </w:r>
          </w:p>
        </w:tc>
        <w:tc>
          <w:tcPr>
            <w:tcW w:w="723" w:type="dxa"/>
            <w:tcBorders>
              <w:top w:val="nil"/>
              <w:left w:val="nil"/>
              <w:bottom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15</w:t>
            </w:r>
          </w:p>
        </w:tc>
      </w:tr>
      <w:tr w:rsidR="009A73C7" w:rsidRPr="007920BD" w:rsidTr="006B1FCB">
        <w:trPr>
          <w:trHeight w:hRule="exact" w:val="346"/>
          <w:jc w:val="center"/>
        </w:trPr>
        <w:tc>
          <w:tcPr>
            <w:tcW w:w="2278" w:type="dxa"/>
            <w:tcBorders>
              <w:top w:val="nil"/>
              <w:left w:val="nil"/>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United Kingdom</w:t>
            </w:r>
          </w:p>
        </w:tc>
        <w:tc>
          <w:tcPr>
            <w:tcW w:w="1483" w:type="dxa"/>
            <w:tcBorders>
              <w:top w:val="nil"/>
              <w:left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53.1</w:t>
            </w:r>
          </w:p>
        </w:tc>
        <w:tc>
          <w:tcPr>
            <w:tcW w:w="1080" w:type="dxa"/>
            <w:tcBorders>
              <w:top w:val="nil"/>
              <w:left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34.1</w:t>
            </w:r>
          </w:p>
        </w:tc>
        <w:tc>
          <w:tcPr>
            <w:tcW w:w="1597" w:type="dxa"/>
            <w:tcBorders>
              <w:top w:val="nil"/>
              <w:left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-19</w:t>
            </w:r>
            <w:r w:rsidR="006B1FCB">
              <w:rPr>
                <w:rFonts w:ascii="Times New Roman" w:hAnsi="Times New Roman" w:cs="Times New Roman"/>
                <w:sz w:val="24"/>
                <w:szCs w:val="24"/>
              </w:rPr>
              <w:t>.0</w:t>
            </w:r>
          </w:p>
        </w:tc>
        <w:tc>
          <w:tcPr>
            <w:tcW w:w="723" w:type="dxa"/>
            <w:tcBorders>
              <w:top w:val="nil"/>
              <w:left w:val="nil"/>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9</w:t>
            </w:r>
          </w:p>
        </w:tc>
      </w:tr>
      <w:tr w:rsidR="006B1FCB" w:rsidRPr="007920BD" w:rsidTr="006B1FCB">
        <w:trPr>
          <w:trHeight w:hRule="exact" w:val="346"/>
          <w:jc w:val="center"/>
        </w:trPr>
        <w:tc>
          <w:tcPr>
            <w:tcW w:w="2278" w:type="dxa"/>
            <w:tcBorders>
              <w:top w:val="nil"/>
              <w:left w:val="nil"/>
              <w:bottom w:val="single" w:sz="4" w:space="0" w:color="auto"/>
              <w:right w:val="nil"/>
            </w:tcBorders>
            <w:shd w:val="clear" w:color="auto" w:fill="auto"/>
            <w:vAlign w:val="center"/>
            <w:hideMark/>
          </w:tcPr>
          <w:p w:rsidR="009A73C7" w:rsidRPr="007920BD" w:rsidRDefault="009A73C7" w:rsidP="0025650E">
            <w:pPr>
              <w:rPr>
                <w:rFonts w:ascii="Times New Roman" w:hAnsi="Times New Roman" w:cs="Times New Roman"/>
                <w:color w:val="000000"/>
                <w:sz w:val="24"/>
                <w:szCs w:val="24"/>
              </w:rPr>
            </w:pPr>
            <w:r w:rsidRPr="007920BD">
              <w:rPr>
                <w:rFonts w:ascii="Times New Roman" w:hAnsi="Times New Roman" w:cs="Times New Roman"/>
                <w:color w:val="000000"/>
                <w:sz w:val="24"/>
                <w:szCs w:val="24"/>
              </w:rPr>
              <w:t>United States</w:t>
            </w:r>
          </w:p>
        </w:tc>
        <w:tc>
          <w:tcPr>
            <w:tcW w:w="1483" w:type="dxa"/>
            <w:tcBorders>
              <w:top w:val="nil"/>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45.2</w:t>
            </w:r>
          </w:p>
        </w:tc>
        <w:tc>
          <w:tcPr>
            <w:tcW w:w="1080" w:type="dxa"/>
            <w:tcBorders>
              <w:top w:val="nil"/>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26.1</w:t>
            </w:r>
          </w:p>
        </w:tc>
        <w:tc>
          <w:tcPr>
            <w:tcW w:w="1597" w:type="dxa"/>
            <w:tcBorders>
              <w:top w:val="nil"/>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sz w:val="24"/>
                <w:szCs w:val="24"/>
              </w:rPr>
            </w:pPr>
            <w:r w:rsidRPr="007920BD">
              <w:rPr>
                <w:rFonts w:ascii="Times New Roman" w:hAnsi="Times New Roman" w:cs="Times New Roman"/>
                <w:sz w:val="24"/>
                <w:szCs w:val="24"/>
              </w:rPr>
              <w:t>-19.1</w:t>
            </w:r>
          </w:p>
        </w:tc>
        <w:tc>
          <w:tcPr>
            <w:tcW w:w="723" w:type="dxa"/>
            <w:tcBorders>
              <w:top w:val="nil"/>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color w:val="000000"/>
                <w:sz w:val="24"/>
                <w:szCs w:val="24"/>
              </w:rPr>
            </w:pPr>
            <w:r w:rsidRPr="007920BD">
              <w:rPr>
                <w:rFonts w:ascii="Times New Roman" w:hAnsi="Times New Roman" w:cs="Times New Roman"/>
                <w:color w:val="000000"/>
                <w:sz w:val="24"/>
                <w:szCs w:val="24"/>
              </w:rPr>
              <w:t>12</w:t>
            </w:r>
          </w:p>
        </w:tc>
      </w:tr>
      <w:tr w:rsidR="006B1FCB" w:rsidRPr="007920BD" w:rsidTr="006B1FCB">
        <w:trPr>
          <w:trHeight w:hRule="exact" w:val="346"/>
          <w:jc w:val="center"/>
        </w:trPr>
        <w:tc>
          <w:tcPr>
            <w:tcW w:w="2278" w:type="dxa"/>
            <w:tcBorders>
              <w:top w:val="single" w:sz="4" w:space="0" w:color="auto"/>
              <w:left w:val="nil"/>
              <w:bottom w:val="single" w:sz="4" w:space="0" w:color="auto"/>
              <w:right w:val="nil"/>
            </w:tcBorders>
            <w:shd w:val="clear" w:color="auto" w:fill="auto"/>
            <w:vAlign w:val="center"/>
            <w:hideMark/>
          </w:tcPr>
          <w:p w:rsidR="009A73C7" w:rsidRPr="007920BD" w:rsidRDefault="009A73C7" w:rsidP="0025650E">
            <w:pPr>
              <w:rPr>
                <w:rFonts w:ascii="Times New Roman" w:hAnsi="Times New Roman" w:cs="Times New Roman"/>
                <w:b/>
                <w:color w:val="000000"/>
                <w:sz w:val="24"/>
                <w:szCs w:val="24"/>
              </w:rPr>
            </w:pPr>
            <w:r w:rsidRPr="007920BD">
              <w:rPr>
                <w:rFonts w:ascii="Times New Roman" w:hAnsi="Times New Roman" w:cs="Times New Roman"/>
                <w:b/>
                <w:color w:val="000000"/>
                <w:sz w:val="24"/>
                <w:szCs w:val="24"/>
              </w:rPr>
              <w:t>OECD countries</w:t>
            </w:r>
          </w:p>
        </w:tc>
        <w:tc>
          <w:tcPr>
            <w:tcW w:w="1483"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color w:val="000000"/>
                <w:sz w:val="24"/>
                <w:szCs w:val="24"/>
              </w:rPr>
            </w:pPr>
            <w:r w:rsidRPr="007920BD">
              <w:rPr>
                <w:rFonts w:ascii="Times New Roman" w:hAnsi="Times New Roman" w:cs="Times New Roman"/>
                <w:b/>
                <w:color w:val="000000"/>
                <w:sz w:val="24"/>
                <w:szCs w:val="24"/>
              </w:rPr>
              <w:t>30.2</w:t>
            </w:r>
          </w:p>
        </w:tc>
        <w:tc>
          <w:tcPr>
            <w:tcW w:w="1080"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color w:val="000000"/>
                <w:sz w:val="24"/>
                <w:szCs w:val="24"/>
              </w:rPr>
            </w:pPr>
            <w:r w:rsidRPr="007920BD">
              <w:rPr>
                <w:rFonts w:ascii="Times New Roman" w:hAnsi="Times New Roman" w:cs="Times New Roman"/>
                <w:b/>
                <w:color w:val="000000"/>
                <w:sz w:val="24"/>
                <w:szCs w:val="24"/>
              </w:rPr>
              <w:t>22.6</w:t>
            </w:r>
          </w:p>
        </w:tc>
        <w:tc>
          <w:tcPr>
            <w:tcW w:w="1597"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sz w:val="24"/>
                <w:szCs w:val="24"/>
              </w:rPr>
            </w:pPr>
            <w:r w:rsidRPr="007920BD">
              <w:rPr>
                <w:rFonts w:ascii="Times New Roman" w:hAnsi="Times New Roman" w:cs="Times New Roman"/>
                <w:b/>
                <w:sz w:val="24"/>
                <w:szCs w:val="24"/>
              </w:rPr>
              <w:t>-7.6</w:t>
            </w:r>
          </w:p>
        </w:tc>
        <w:tc>
          <w:tcPr>
            <w:tcW w:w="723"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color w:val="000000"/>
                <w:sz w:val="24"/>
                <w:szCs w:val="24"/>
              </w:rPr>
            </w:pPr>
          </w:p>
        </w:tc>
      </w:tr>
      <w:tr w:rsidR="006B1FCB" w:rsidRPr="007920BD" w:rsidTr="006B1FCB">
        <w:trPr>
          <w:trHeight w:hRule="exact" w:val="346"/>
          <w:jc w:val="center"/>
        </w:trPr>
        <w:tc>
          <w:tcPr>
            <w:tcW w:w="2278" w:type="dxa"/>
            <w:tcBorders>
              <w:top w:val="single" w:sz="4" w:space="0" w:color="auto"/>
              <w:left w:val="nil"/>
              <w:bottom w:val="single" w:sz="4" w:space="0" w:color="auto"/>
              <w:right w:val="nil"/>
            </w:tcBorders>
            <w:shd w:val="clear" w:color="auto" w:fill="auto"/>
            <w:vAlign w:val="center"/>
            <w:hideMark/>
          </w:tcPr>
          <w:p w:rsidR="009A73C7" w:rsidRPr="007920BD" w:rsidRDefault="009A73C7" w:rsidP="0025650E">
            <w:pPr>
              <w:rPr>
                <w:rFonts w:ascii="Times New Roman" w:hAnsi="Times New Roman" w:cs="Times New Roman"/>
                <w:b/>
                <w:color w:val="000000"/>
                <w:sz w:val="24"/>
                <w:szCs w:val="24"/>
              </w:rPr>
            </w:pPr>
            <w:r w:rsidRPr="007920BD">
              <w:rPr>
                <w:rFonts w:ascii="Times New Roman" w:hAnsi="Times New Roman" w:cs="Times New Roman"/>
                <w:b/>
                <w:color w:val="000000"/>
                <w:sz w:val="24"/>
                <w:szCs w:val="24"/>
              </w:rPr>
              <w:t>U.S – OECD</w:t>
            </w:r>
          </w:p>
        </w:tc>
        <w:tc>
          <w:tcPr>
            <w:tcW w:w="1483"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color w:val="000000"/>
                <w:sz w:val="24"/>
                <w:szCs w:val="24"/>
              </w:rPr>
            </w:pPr>
            <w:r w:rsidRPr="007920BD">
              <w:rPr>
                <w:rFonts w:ascii="Times New Roman" w:hAnsi="Times New Roman" w:cs="Times New Roman"/>
                <w:b/>
                <w:color w:val="000000"/>
                <w:sz w:val="24"/>
                <w:szCs w:val="24"/>
              </w:rPr>
              <w:t>15</w:t>
            </w:r>
            <w:r w:rsidR="0025650E">
              <w:rPr>
                <w:rFonts w:ascii="Times New Roman" w:hAnsi="Times New Roman" w:cs="Times New Roman"/>
                <w:b/>
                <w:color w:val="000000"/>
                <w:sz w:val="24"/>
                <w:szCs w:val="24"/>
              </w:rPr>
              <w:t>.0</w:t>
            </w:r>
          </w:p>
        </w:tc>
        <w:tc>
          <w:tcPr>
            <w:tcW w:w="1080"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color w:val="000000"/>
                <w:sz w:val="24"/>
                <w:szCs w:val="24"/>
              </w:rPr>
            </w:pPr>
            <w:r w:rsidRPr="007920BD">
              <w:rPr>
                <w:rFonts w:ascii="Times New Roman" w:hAnsi="Times New Roman" w:cs="Times New Roman"/>
                <w:b/>
                <w:color w:val="000000"/>
                <w:sz w:val="24"/>
                <w:szCs w:val="24"/>
              </w:rPr>
              <w:t>2.6</w:t>
            </w:r>
          </w:p>
        </w:tc>
        <w:tc>
          <w:tcPr>
            <w:tcW w:w="1597"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sz w:val="24"/>
                <w:szCs w:val="24"/>
              </w:rPr>
            </w:pPr>
            <w:r w:rsidRPr="007920BD">
              <w:rPr>
                <w:rFonts w:ascii="Times New Roman" w:hAnsi="Times New Roman" w:cs="Times New Roman"/>
                <w:b/>
                <w:sz w:val="24"/>
                <w:szCs w:val="24"/>
              </w:rPr>
              <w:t>-12.4</w:t>
            </w:r>
          </w:p>
        </w:tc>
        <w:tc>
          <w:tcPr>
            <w:tcW w:w="723" w:type="dxa"/>
            <w:tcBorders>
              <w:top w:val="single" w:sz="4" w:space="0" w:color="auto"/>
              <w:left w:val="nil"/>
              <w:bottom w:val="single" w:sz="4" w:space="0" w:color="auto"/>
              <w:right w:val="nil"/>
            </w:tcBorders>
            <w:shd w:val="clear" w:color="auto" w:fill="auto"/>
            <w:noWrap/>
            <w:vAlign w:val="center"/>
            <w:hideMark/>
          </w:tcPr>
          <w:p w:rsidR="009A73C7" w:rsidRPr="007920BD" w:rsidRDefault="009A73C7" w:rsidP="006B1FCB">
            <w:pPr>
              <w:jc w:val="right"/>
              <w:rPr>
                <w:rFonts w:ascii="Times New Roman" w:hAnsi="Times New Roman" w:cs="Times New Roman"/>
                <w:b/>
                <w:color w:val="000000"/>
                <w:sz w:val="24"/>
                <w:szCs w:val="24"/>
              </w:rPr>
            </w:pPr>
          </w:p>
        </w:tc>
      </w:tr>
    </w:tbl>
    <w:p w:rsidR="00FE688B" w:rsidRDefault="00D817D3" w:rsidP="001601F5">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2000, slightly over 45% of 16-19 year old teen</w:t>
      </w:r>
      <w:r w:rsidR="0048556B">
        <w:rPr>
          <w:rFonts w:ascii="Times New Roman" w:hAnsi="Times New Roman" w:cs="Times New Roman"/>
          <w:sz w:val="24"/>
          <w:szCs w:val="24"/>
        </w:rPr>
        <w:t>s</w:t>
      </w:r>
      <w:r>
        <w:rPr>
          <w:rFonts w:ascii="Times New Roman" w:hAnsi="Times New Roman" w:cs="Times New Roman"/>
          <w:sz w:val="24"/>
          <w:szCs w:val="24"/>
        </w:rPr>
        <w:t xml:space="preserve"> in the U.S. were working. </w:t>
      </w:r>
      <w:r w:rsidR="003A2F9A">
        <w:rPr>
          <w:rFonts w:ascii="Times New Roman" w:hAnsi="Times New Roman" w:cs="Times New Roman"/>
          <w:sz w:val="24"/>
          <w:szCs w:val="24"/>
        </w:rPr>
        <w:t>The U.S</w:t>
      </w:r>
      <w:r w:rsidR="0048556B">
        <w:rPr>
          <w:rFonts w:ascii="Times New Roman" w:hAnsi="Times New Roman" w:cs="Times New Roman"/>
          <w:sz w:val="24"/>
          <w:szCs w:val="24"/>
        </w:rPr>
        <w:t>.</w:t>
      </w:r>
      <w:r w:rsidR="003A2F9A">
        <w:rPr>
          <w:rFonts w:ascii="Times New Roman" w:hAnsi="Times New Roman" w:cs="Times New Roman"/>
          <w:sz w:val="24"/>
          <w:szCs w:val="24"/>
        </w:rPr>
        <w:t xml:space="preserve"> teen employment rate exceeded the OECD average by 15 percentage points or 50% in relative terms, and the U.S. ranked </w:t>
      </w:r>
      <w:r w:rsidR="003A2F9A">
        <w:rPr>
          <w:rFonts w:ascii="Times New Roman" w:hAnsi="Times New Roman" w:cs="Times New Roman"/>
          <w:sz w:val="24"/>
          <w:szCs w:val="24"/>
          <w:u w:val="single"/>
        </w:rPr>
        <w:t>7</w:t>
      </w:r>
      <w:r w:rsidR="003A2F9A" w:rsidRPr="003A2F9A">
        <w:rPr>
          <w:rFonts w:ascii="Times New Roman" w:hAnsi="Times New Roman" w:cs="Times New Roman"/>
          <w:sz w:val="24"/>
          <w:szCs w:val="24"/>
          <w:u w:val="single"/>
          <w:vertAlign w:val="superscript"/>
        </w:rPr>
        <w:t>th</w:t>
      </w:r>
      <w:r w:rsidR="003A2F9A">
        <w:rPr>
          <w:rFonts w:ascii="Times New Roman" w:hAnsi="Times New Roman" w:cs="Times New Roman"/>
          <w:sz w:val="24"/>
          <w:szCs w:val="24"/>
          <w:u w:val="single"/>
        </w:rPr>
        <w:t xml:space="preserve"> </w:t>
      </w:r>
      <w:r w:rsidR="003A2F9A" w:rsidRPr="003A2F9A">
        <w:rPr>
          <w:rFonts w:ascii="Times New Roman" w:hAnsi="Times New Roman" w:cs="Times New Roman"/>
          <w:sz w:val="24"/>
          <w:szCs w:val="24"/>
        </w:rPr>
        <w:t>highest</w:t>
      </w:r>
      <w:r w:rsidR="003A2F9A">
        <w:rPr>
          <w:rFonts w:ascii="Times New Roman" w:hAnsi="Times New Roman" w:cs="Times New Roman"/>
          <w:sz w:val="24"/>
          <w:szCs w:val="24"/>
        </w:rPr>
        <w:t xml:space="preserve"> among these 31 countries, outpacing larger </w:t>
      </w:r>
      <w:r w:rsidR="00FE688B">
        <w:rPr>
          <w:rFonts w:ascii="Times New Roman" w:hAnsi="Times New Roman" w:cs="Times New Roman"/>
          <w:sz w:val="24"/>
          <w:szCs w:val="24"/>
        </w:rPr>
        <w:t>nations</w:t>
      </w:r>
      <w:r w:rsidR="003A2F9A">
        <w:rPr>
          <w:rFonts w:ascii="Times New Roman" w:hAnsi="Times New Roman" w:cs="Times New Roman"/>
          <w:sz w:val="24"/>
          <w:szCs w:val="24"/>
        </w:rPr>
        <w:t>, such as France, Germany, Italy, Japan, and Spain by huge margins.</w:t>
      </w:r>
      <w:r w:rsidR="0073542D">
        <w:rPr>
          <w:rStyle w:val="FootnoteReference"/>
          <w:rFonts w:ascii="Times New Roman" w:hAnsi="Times New Roman" w:cs="Times New Roman"/>
          <w:sz w:val="24"/>
          <w:szCs w:val="24"/>
        </w:rPr>
        <w:footnoteReference w:id="8"/>
      </w:r>
      <w:r w:rsidR="003A2F9A">
        <w:rPr>
          <w:rFonts w:ascii="Times New Roman" w:hAnsi="Times New Roman" w:cs="Times New Roman"/>
          <w:sz w:val="24"/>
          <w:szCs w:val="24"/>
        </w:rPr>
        <w:t xml:space="preserve"> </w:t>
      </w:r>
      <w:r w:rsidR="00FE688B">
        <w:rPr>
          <w:rFonts w:ascii="Times New Roman" w:hAnsi="Times New Roman" w:cs="Times New Roman"/>
          <w:sz w:val="24"/>
          <w:szCs w:val="24"/>
        </w:rPr>
        <w:t xml:space="preserve">While not ranking at the very top of the distribution, the U.S. would still have been considered a national leader in providing its teens with jobs in 2000. </w:t>
      </w:r>
    </w:p>
    <w:p w:rsidR="0070003C" w:rsidRDefault="00FE688B" w:rsidP="001601F5">
      <w:pPr>
        <w:spacing w:before="12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O</w:t>
      </w:r>
      <w:r w:rsidR="001601F5" w:rsidRPr="003A2F9A">
        <w:rPr>
          <w:rFonts w:ascii="Times New Roman" w:hAnsi="Times New Roman" w:cs="Times New Roman"/>
          <w:sz w:val="24"/>
          <w:szCs w:val="24"/>
        </w:rPr>
        <w:t>ver</w:t>
      </w:r>
      <w:r w:rsidR="001601F5" w:rsidRPr="00901A49">
        <w:rPr>
          <w:rFonts w:ascii="Times New Roman" w:hAnsi="Times New Roman" w:cs="Times New Roman"/>
          <w:sz w:val="24"/>
          <w:szCs w:val="24"/>
        </w:rPr>
        <w:t xml:space="preserve"> the </w:t>
      </w:r>
      <w:r>
        <w:rPr>
          <w:rFonts w:ascii="Times New Roman" w:hAnsi="Times New Roman" w:cs="Times New Roman"/>
          <w:sz w:val="24"/>
          <w:szCs w:val="24"/>
        </w:rPr>
        <w:t>next twelve years (2000-2012), teen employment rates fell in the vast majority of OECD count</w:t>
      </w:r>
      <w:r w:rsidR="0048556B">
        <w:rPr>
          <w:rFonts w:ascii="Times New Roman" w:hAnsi="Times New Roman" w:cs="Times New Roman"/>
          <w:sz w:val="24"/>
          <w:szCs w:val="24"/>
        </w:rPr>
        <w:t>ries, with double digit declines t</w:t>
      </w:r>
      <w:r>
        <w:rPr>
          <w:rFonts w:ascii="Times New Roman" w:hAnsi="Times New Roman" w:cs="Times New Roman"/>
          <w:sz w:val="24"/>
          <w:szCs w:val="24"/>
        </w:rPr>
        <w:t>aking place in 7 of these countries, including the U.S. Only 3 of these 31 countries (Austria, Chile, and I</w:t>
      </w:r>
      <w:r w:rsidR="00601611">
        <w:rPr>
          <w:rFonts w:ascii="Times New Roman" w:hAnsi="Times New Roman" w:cs="Times New Roman"/>
          <w:sz w:val="24"/>
          <w:szCs w:val="24"/>
        </w:rPr>
        <w:t>c</w:t>
      </w:r>
      <w:r>
        <w:rPr>
          <w:rFonts w:ascii="Times New Roman" w:hAnsi="Times New Roman" w:cs="Times New Roman"/>
          <w:sz w:val="24"/>
          <w:szCs w:val="24"/>
        </w:rPr>
        <w:t>eland) experienced a modest gain in their teen employment rates while decline</w:t>
      </w:r>
      <w:r w:rsidR="0048556B">
        <w:rPr>
          <w:rFonts w:ascii="Times New Roman" w:hAnsi="Times New Roman" w:cs="Times New Roman"/>
          <w:sz w:val="24"/>
          <w:szCs w:val="24"/>
        </w:rPr>
        <w:t>s</w:t>
      </w:r>
      <w:r>
        <w:rPr>
          <w:rFonts w:ascii="Times New Roman" w:hAnsi="Times New Roman" w:cs="Times New Roman"/>
          <w:sz w:val="24"/>
          <w:szCs w:val="24"/>
        </w:rPr>
        <w:t xml:space="preserve"> took place in the other 28 countries. The magnitude of these declines ranged from lows of less than 1 percentage point in France and Switzerland to highs of 19 to 20 percentage points in Ireland, the United Kingdom, and the United States.</w:t>
      </w:r>
      <w:r w:rsidR="00795666">
        <w:rPr>
          <w:rFonts w:ascii="Times New Roman" w:hAnsi="Times New Roman" w:cs="Times New Roman"/>
          <w:sz w:val="24"/>
          <w:szCs w:val="24"/>
        </w:rPr>
        <w:t xml:space="preserve"> </w:t>
      </w:r>
      <w:r w:rsidR="00795666" w:rsidRPr="0070003C">
        <w:rPr>
          <w:rFonts w:ascii="Times New Roman" w:hAnsi="Times New Roman" w:cs="Times New Roman"/>
          <w:sz w:val="24"/>
          <w:szCs w:val="24"/>
          <w:u w:val="single"/>
        </w:rPr>
        <w:t xml:space="preserve">The U.S. had the </w:t>
      </w:r>
      <w:r w:rsidR="0048556B">
        <w:rPr>
          <w:rFonts w:ascii="Times New Roman" w:hAnsi="Times New Roman" w:cs="Times New Roman"/>
          <w:sz w:val="24"/>
          <w:szCs w:val="24"/>
          <w:u w:val="single"/>
        </w:rPr>
        <w:t>second highest percentage point</w:t>
      </w:r>
      <w:r w:rsidR="00795666" w:rsidRPr="0070003C">
        <w:rPr>
          <w:rFonts w:ascii="Times New Roman" w:hAnsi="Times New Roman" w:cs="Times New Roman"/>
          <w:sz w:val="24"/>
          <w:szCs w:val="24"/>
          <w:u w:val="single"/>
        </w:rPr>
        <w:t xml:space="preserve"> drop in its teen employment rate, with the gap between its employment rate and that of the entire OECD network falling from 15 percentage points in 2000 to less than 3 percentage points in 2012</w:t>
      </w:r>
      <w:r w:rsidR="00795666">
        <w:rPr>
          <w:rFonts w:ascii="Times New Roman" w:hAnsi="Times New Roman" w:cs="Times New Roman"/>
          <w:sz w:val="24"/>
          <w:szCs w:val="24"/>
        </w:rPr>
        <w:t xml:space="preserve">. (see </w:t>
      </w:r>
      <w:r w:rsidR="00601611">
        <w:rPr>
          <w:rFonts w:ascii="Times New Roman" w:hAnsi="Times New Roman" w:cs="Times New Roman"/>
          <w:sz w:val="24"/>
          <w:szCs w:val="24"/>
        </w:rPr>
        <w:t xml:space="preserve">Table 3 and </w:t>
      </w:r>
      <w:r w:rsidR="00795666">
        <w:rPr>
          <w:rFonts w:ascii="Times New Roman" w:hAnsi="Times New Roman" w:cs="Times New Roman"/>
          <w:sz w:val="24"/>
          <w:szCs w:val="24"/>
        </w:rPr>
        <w:t>Chart</w:t>
      </w:r>
      <w:r w:rsidR="00601611">
        <w:rPr>
          <w:rFonts w:ascii="Times New Roman" w:hAnsi="Times New Roman" w:cs="Times New Roman"/>
          <w:sz w:val="24"/>
          <w:szCs w:val="24"/>
        </w:rPr>
        <w:t xml:space="preserve"> </w:t>
      </w:r>
      <w:r w:rsidR="00370426">
        <w:rPr>
          <w:rFonts w:ascii="Times New Roman" w:hAnsi="Times New Roman" w:cs="Times New Roman"/>
          <w:sz w:val="24"/>
          <w:szCs w:val="24"/>
        </w:rPr>
        <w:t>5</w:t>
      </w:r>
      <w:r w:rsidR="00795666">
        <w:rPr>
          <w:rFonts w:ascii="Times New Roman" w:hAnsi="Times New Roman" w:cs="Times New Roman"/>
          <w:sz w:val="24"/>
          <w:szCs w:val="24"/>
        </w:rPr>
        <w:t>).</w:t>
      </w:r>
      <w:r w:rsidR="0070003C">
        <w:rPr>
          <w:rFonts w:ascii="Times New Roman" w:hAnsi="Times New Roman" w:cs="Times New Roman"/>
          <w:sz w:val="24"/>
          <w:szCs w:val="24"/>
        </w:rPr>
        <w:t xml:space="preserve"> The U.S. rank dropped from 7</w:t>
      </w:r>
      <w:r w:rsidR="0070003C" w:rsidRPr="0070003C">
        <w:rPr>
          <w:rFonts w:ascii="Times New Roman" w:hAnsi="Times New Roman" w:cs="Times New Roman"/>
          <w:sz w:val="24"/>
          <w:szCs w:val="24"/>
          <w:vertAlign w:val="superscript"/>
        </w:rPr>
        <w:t>th</w:t>
      </w:r>
      <w:r w:rsidR="0070003C">
        <w:rPr>
          <w:rFonts w:ascii="Times New Roman" w:hAnsi="Times New Roman" w:cs="Times New Roman"/>
          <w:sz w:val="24"/>
          <w:szCs w:val="24"/>
        </w:rPr>
        <w:t xml:space="preserve"> highest to only 12</w:t>
      </w:r>
      <w:r w:rsidR="0070003C" w:rsidRPr="0070003C">
        <w:rPr>
          <w:rFonts w:ascii="Times New Roman" w:hAnsi="Times New Roman" w:cs="Times New Roman"/>
          <w:sz w:val="24"/>
          <w:szCs w:val="24"/>
          <w:vertAlign w:val="superscript"/>
        </w:rPr>
        <w:t>th</w:t>
      </w:r>
      <w:r w:rsidR="0070003C">
        <w:rPr>
          <w:rFonts w:ascii="Times New Roman" w:hAnsi="Times New Roman" w:cs="Times New Roman"/>
          <w:sz w:val="24"/>
          <w:szCs w:val="24"/>
        </w:rPr>
        <w:t xml:space="preserve"> highest in 2012.</w:t>
      </w:r>
      <w:r w:rsidR="00370426">
        <w:rPr>
          <w:rFonts w:ascii="Times New Roman" w:hAnsi="Times New Roman" w:cs="Times New Roman"/>
          <w:sz w:val="24"/>
          <w:szCs w:val="24"/>
        </w:rPr>
        <w:t xml:space="preserve"> (Chart 6). </w:t>
      </w:r>
      <w:r w:rsidR="0070003C">
        <w:rPr>
          <w:rFonts w:ascii="Times New Roman" w:hAnsi="Times New Roman" w:cs="Times New Roman"/>
          <w:sz w:val="24"/>
          <w:szCs w:val="24"/>
          <w:u w:val="single"/>
        </w:rPr>
        <w:t>The U.S. teen employment performance</w:t>
      </w:r>
      <w:r w:rsidR="0048556B">
        <w:rPr>
          <w:rFonts w:ascii="Times New Roman" w:hAnsi="Times New Roman" w:cs="Times New Roman"/>
          <w:sz w:val="24"/>
          <w:szCs w:val="24"/>
          <w:u w:val="single"/>
        </w:rPr>
        <w:t xml:space="preserve"> in 2012</w:t>
      </w:r>
      <w:r w:rsidR="0070003C">
        <w:rPr>
          <w:rFonts w:ascii="Times New Roman" w:hAnsi="Times New Roman" w:cs="Times New Roman"/>
          <w:sz w:val="24"/>
          <w:szCs w:val="24"/>
          <w:u w:val="single"/>
        </w:rPr>
        <w:t xml:space="preserve"> could best be classified as </w:t>
      </w:r>
      <w:r w:rsidR="00635602">
        <w:rPr>
          <w:rFonts w:ascii="Times New Roman" w:hAnsi="Times New Roman" w:cs="Times New Roman"/>
          <w:sz w:val="24"/>
          <w:szCs w:val="24"/>
          <w:u w:val="single"/>
        </w:rPr>
        <w:t>mediocre</w:t>
      </w:r>
      <w:r w:rsidR="0070003C">
        <w:rPr>
          <w:rFonts w:ascii="Times New Roman" w:hAnsi="Times New Roman" w:cs="Times New Roman"/>
          <w:sz w:val="24"/>
          <w:szCs w:val="24"/>
          <w:u w:val="single"/>
        </w:rPr>
        <w:t xml:space="preserve">. It was no longer an international leader. </w:t>
      </w:r>
    </w:p>
    <w:p w:rsidR="0007194A" w:rsidRDefault="0007194A" w:rsidP="0007194A">
      <w:pPr>
        <w:jc w:val="center"/>
      </w:pPr>
      <w:r>
        <w:rPr>
          <w:rFonts w:ascii="Times New Roman" w:hAnsi="Times New Roman" w:cs="Times New Roman"/>
          <w:sz w:val="24"/>
          <w:szCs w:val="24"/>
          <w:u w:val="single"/>
        </w:rPr>
        <w:t xml:space="preserve">Chart </w:t>
      </w:r>
      <w:r w:rsidR="00370426">
        <w:rPr>
          <w:rFonts w:ascii="Times New Roman" w:hAnsi="Times New Roman" w:cs="Times New Roman"/>
          <w:sz w:val="24"/>
          <w:szCs w:val="24"/>
          <w:u w:val="single"/>
        </w:rPr>
        <w:t>5</w:t>
      </w:r>
      <w:r>
        <w:rPr>
          <w:rFonts w:ascii="Times New Roman" w:hAnsi="Times New Roman" w:cs="Times New Roman"/>
          <w:sz w:val="24"/>
          <w:szCs w:val="24"/>
          <w:u w:val="single"/>
        </w:rPr>
        <w:t>:</w:t>
      </w:r>
    </w:p>
    <w:p w:rsidR="006B1FCB" w:rsidRDefault="0007194A" w:rsidP="0007194A">
      <w:pPr>
        <w:jc w:val="center"/>
        <w:rPr>
          <w:rFonts w:ascii="Times New Roman" w:hAnsi="Times New Roman" w:cs="Times New Roman"/>
          <w:sz w:val="24"/>
          <w:szCs w:val="24"/>
          <w:u w:val="single"/>
        </w:rPr>
      </w:pPr>
      <w:r w:rsidRPr="0007194A">
        <w:rPr>
          <w:rFonts w:ascii="Times New Roman" w:hAnsi="Times New Roman" w:cs="Times New Roman"/>
          <w:sz w:val="24"/>
          <w:szCs w:val="24"/>
          <w:u w:val="single"/>
        </w:rPr>
        <w:t>Comparisons of the Gaps Between the E/P Ratios of Teen</w:t>
      </w:r>
      <w:r w:rsidR="00601611">
        <w:rPr>
          <w:rFonts w:ascii="Times New Roman" w:hAnsi="Times New Roman" w:cs="Times New Roman"/>
          <w:sz w:val="24"/>
          <w:szCs w:val="24"/>
          <w:u w:val="single"/>
        </w:rPr>
        <w:t>s</w:t>
      </w:r>
      <w:r w:rsidRPr="0007194A">
        <w:rPr>
          <w:rFonts w:ascii="Times New Roman" w:hAnsi="Times New Roman" w:cs="Times New Roman"/>
          <w:sz w:val="24"/>
          <w:szCs w:val="24"/>
          <w:u w:val="single"/>
        </w:rPr>
        <w:t xml:space="preserve"> in the U.S. and the Entire OECD Region, 2000 and 2012, All and by Gender (In Percentage Points)</w:t>
      </w:r>
    </w:p>
    <w:p w:rsidR="006B1FCB" w:rsidRDefault="000028F0" w:rsidP="001601F5">
      <w:pPr>
        <w:spacing w:before="120" w:line="360" w:lineRule="auto"/>
        <w:ind w:firstLine="720"/>
        <w:jc w:val="both"/>
        <w:rPr>
          <w:rFonts w:ascii="Times New Roman" w:hAnsi="Times New Roman" w:cs="Times New Roman"/>
          <w:sz w:val="24"/>
          <w:szCs w:val="24"/>
          <w:u w:val="single"/>
        </w:rPr>
      </w:pPr>
      <w:r>
        <w:rPr>
          <w:noProof/>
        </w:rPr>
        <w:drawing>
          <wp:inline distT="0" distB="0" distL="0" distR="0" wp14:anchorId="2038D7A4" wp14:editId="306AB7A0">
            <wp:extent cx="4572000" cy="2295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194A" w:rsidRPr="0007194A" w:rsidRDefault="0007194A" w:rsidP="0007194A">
      <w:pPr>
        <w:jc w:val="center"/>
        <w:rPr>
          <w:rFonts w:ascii="Times New Roman" w:eastAsia="Times New Roman" w:hAnsi="Times New Roman" w:cs="Times New Roman"/>
          <w:color w:val="000000"/>
          <w:sz w:val="24"/>
          <w:szCs w:val="24"/>
          <w:u w:val="single"/>
        </w:rPr>
      </w:pPr>
      <w:r w:rsidRPr="0007194A">
        <w:rPr>
          <w:rFonts w:ascii="Times New Roman" w:eastAsia="Times New Roman" w:hAnsi="Times New Roman" w:cs="Times New Roman"/>
          <w:color w:val="000000"/>
          <w:sz w:val="24"/>
          <w:szCs w:val="24"/>
          <w:u w:val="single"/>
        </w:rPr>
        <w:lastRenderedPageBreak/>
        <w:t>Chart</w:t>
      </w:r>
      <w:r>
        <w:rPr>
          <w:rFonts w:ascii="Times New Roman" w:eastAsia="Times New Roman" w:hAnsi="Times New Roman" w:cs="Times New Roman"/>
          <w:color w:val="000000"/>
          <w:sz w:val="24"/>
          <w:szCs w:val="24"/>
          <w:u w:val="single"/>
        </w:rPr>
        <w:t xml:space="preserve"> </w:t>
      </w:r>
      <w:r w:rsidR="00370426">
        <w:rPr>
          <w:rFonts w:ascii="Times New Roman" w:eastAsia="Times New Roman" w:hAnsi="Times New Roman" w:cs="Times New Roman"/>
          <w:color w:val="000000"/>
          <w:sz w:val="24"/>
          <w:szCs w:val="24"/>
          <w:u w:val="single"/>
        </w:rPr>
        <w:t>6</w:t>
      </w:r>
      <w:r w:rsidRPr="0007194A">
        <w:rPr>
          <w:rFonts w:ascii="Times New Roman" w:eastAsia="Times New Roman" w:hAnsi="Times New Roman" w:cs="Times New Roman"/>
          <w:color w:val="000000"/>
          <w:sz w:val="24"/>
          <w:szCs w:val="24"/>
          <w:u w:val="single"/>
        </w:rPr>
        <w:t>:</w:t>
      </w:r>
    </w:p>
    <w:p w:rsidR="0007194A" w:rsidRPr="0007194A" w:rsidRDefault="0007194A" w:rsidP="0007194A">
      <w:pPr>
        <w:jc w:val="center"/>
        <w:rPr>
          <w:rFonts w:ascii="Times New Roman" w:eastAsia="Times New Roman" w:hAnsi="Times New Roman" w:cs="Times New Roman"/>
          <w:color w:val="000000"/>
          <w:sz w:val="24"/>
          <w:szCs w:val="24"/>
          <w:u w:val="single"/>
        </w:rPr>
      </w:pPr>
      <w:r w:rsidRPr="0007194A">
        <w:rPr>
          <w:rFonts w:ascii="Times New Roman" w:eastAsia="Times New Roman" w:hAnsi="Times New Roman" w:cs="Times New Roman"/>
          <w:color w:val="000000"/>
          <w:sz w:val="24"/>
          <w:szCs w:val="24"/>
          <w:u w:val="single"/>
        </w:rPr>
        <w:t>Comparisons of the Rankings of the U.S. on Teen E/P Ratios Compared to the Entire OECD Region, 2000 and 2012, All and by Gender</w:t>
      </w:r>
    </w:p>
    <w:p w:rsidR="0007194A" w:rsidRDefault="0039191A" w:rsidP="001601F5">
      <w:pPr>
        <w:spacing w:before="120" w:line="360" w:lineRule="auto"/>
        <w:ind w:firstLine="720"/>
        <w:jc w:val="both"/>
        <w:rPr>
          <w:rFonts w:ascii="Times New Roman" w:hAnsi="Times New Roman" w:cs="Times New Roman"/>
          <w:sz w:val="24"/>
          <w:szCs w:val="24"/>
          <w:u w:val="single"/>
        </w:rPr>
      </w:pPr>
      <w:r>
        <w:rPr>
          <w:noProof/>
        </w:rPr>
        <w:drawing>
          <wp:inline distT="0" distB="0" distL="0" distR="0" wp14:anchorId="2CF9A00C" wp14:editId="161B475D">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37BC" w:rsidRDefault="00635602" w:rsidP="001601F5">
      <w:pPr>
        <w:spacing w:before="120" w:line="360" w:lineRule="auto"/>
        <w:ind w:firstLine="720"/>
        <w:jc w:val="both"/>
        <w:rPr>
          <w:rFonts w:ascii="Times New Roman" w:hAnsi="Times New Roman" w:cs="Times New Roman"/>
          <w:sz w:val="24"/>
          <w:szCs w:val="24"/>
        </w:rPr>
      </w:pPr>
      <w:r w:rsidRPr="00635602">
        <w:rPr>
          <w:rFonts w:ascii="Times New Roman" w:hAnsi="Times New Roman" w:cs="Times New Roman"/>
          <w:sz w:val="24"/>
          <w:szCs w:val="24"/>
        </w:rPr>
        <w:t>The labor market fate of male teens in the vast majority of these 31 OECD nations also deteriorated over the 2000-2012 period.</w:t>
      </w:r>
      <w:r w:rsidR="006A312F">
        <w:rPr>
          <w:rFonts w:ascii="Times New Roman" w:hAnsi="Times New Roman" w:cs="Times New Roman"/>
          <w:sz w:val="24"/>
          <w:szCs w:val="24"/>
        </w:rPr>
        <w:t xml:space="preserve"> The overall male teen employme</w:t>
      </w:r>
      <w:r w:rsidR="00601611">
        <w:rPr>
          <w:rFonts w:ascii="Times New Roman" w:hAnsi="Times New Roman" w:cs="Times New Roman"/>
          <w:sz w:val="24"/>
          <w:szCs w:val="24"/>
        </w:rPr>
        <w:t>nt rate in the entire OECD bloc</w:t>
      </w:r>
      <w:r w:rsidR="006A312F">
        <w:rPr>
          <w:rFonts w:ascii="Times New Roman" w:hAnsi="Times New Roman" w:cs="Times New Roman"/>
          <w:sz w:val="24"/>
          <w:szCs w:val="24"/>
        </w:rPr>
        <w:t xml:space="preserve"> </w:t>
      </w:r>
      <w:r w:rsidR="00601611">
        <w:rPr>
          <w:rFonts w:ascii="Times New Roman" w:hAnsi="Times New Roman" w:cs="Times New Roman"/>
          <w:sz w:val="24"/>
          <w:szCs w:val="24"/>
        </w:rPr>
        <w:t xml:space="preserve">of nations </w:t>
      </w:r>
      <w:r w:rsidR="006A312F">
        <w:rPr>
          <w:rFonts w:ascii="Times New Roman" w:hAnsi="Times New Roman" w:cs="Times New Roman"/>
          <w:sz w:val="24"/>
          <w:szCs w:val="24"/>
        </w:rPr>
        <w:t>fell from 33.6% to 24.6% over this 12 year period, a decline of 9 full percentage points. In only three of these nations (Austria, Iceland, and Switzerland) did male teens avoid a drop in their employment rate. In ten of these countries, double digit decline</w:t>
      </w:r>
      <w:r w:rsidR="004639B8">
        <w:rPr>
          <w:rFonts w:ascii="Times New Roman" w:hAnsi="Times New Roman" w:cs="Times New Roman"/>
          <w:sz w:val="24"/>
          <w:szCs w:val="24"/>
        </w:rPr>
        <w:t>s</w:t>
      </w:r>
      <w:r w:rsidR="006A312F">
        <w:rPr>
          <w:rFonts w:ascii="Times New Roman" w:hAnsi="Times New Roman" w:cs="Times New Roman"/>
          <w:sz w:val="24"/>
          <w:szCs w:val="24"/>
        </w:rPr>
        <w:t xml:space="preserve"> took place in teen employment rates with Ireland, the U.</w:t>
      </w:r>
      <w:r w:rsidR="004639B8">
        <w:rPr>
          <w:rFonts w:ascii="Times New Roman" w:hAnsi="Times New Roman" w:cs="Times New Roman"/>
          <w:sz w:val="24"/>
          <w:szCs w:val="24"/>
        </w:rPr>
        <w:t>K</w:t>
      </w:r>
      <w:r w:rsidR="006A312F">
        <w:rPr>
          <w:rFonts w:ascii="Times New Roman" w:hAnsi="Times New Roman" w:cs="Times New Roman"/>
          <w:sz w:val="24"/>
          <w:szCs w:val="24"/>
        </w:rPr>
        <w:t xml:space="preserve">., and the U.S. experiencing declines of 20 to 24 percentage points. </w:t>
      </w:r>
      <w:r w:rsidR="007F32DB">
        <w:rPr>
          <w:rFonts w:ascii="Times New Roman" w:hAnsi="Times New Roman" w:cs="Times New Roman"/>
          <w:sz w:val="24"/>
          <w:szCs w:val="24"/>
          <w:u w:val="single"/>
        </w:rPr>
        <w:t>The U.S. male teen employment decline was the third highest among these 31 nations.</w:t>
      </w:r>
      <w:r w:rsidR="007F32DB">
        <w:rPr>
          <w:rFonts w:ascii="Times New Roman" w:hAnsi="Times New Roman" w:cs="Times New Roman"/>
          <w:sz w:val="24"/>
          <w:szCs w:val="24"/>
        </w:rPr>
        <w:t xml:space="preserve"> The gap between the male teen employment rate in the U.S. and the enti</w:t>
      </w:r>
      <w:r w:rsidR="004639B8">
        <w:rPr>
          <w:rFonts w:ascii="Times New Roman" w:hAnsi="Times New Roman" w:cs="Times New Roman"/>
          <w:sz w:val="24"/>
          <w:szCs w:val="24"/>
        </w:rPr>
        <w:t>re OECD region was nearly 1</w:t>
      </w:r>
      <w:r w:rsidR="007F32DB">
        <w:rPr>
          <w:rFonts w:ascii="Times New Roman" w:hAnsi="Times New Roman" w:cs="Times New Roman"/>
          <w:sz w:val="24"/>
          <w:szCs w:val="24"/>
        </w:rPr>
        <w:t>2 percentage points in 2000 but had dropped to under one percentage point by 2012. Our rank among the 31 OECD countries fell from 8</w:t>
      </w:r>
      <w:r w:rsidR="007F32DB" w:rsidRPr="007F32DB">
        <w:rPr>
          <w:rFonts w:ascii="Times New Roman" w:hAnsi="Times New Roman" w:cs="Times New Roman"/>
          <w:sz w:val="24"/>
          <w:szCs w:val="24"/>
          <w:vertAlign w:val="superscript"/>
        </w:rPr>
        <w:t>th</w:t>
      </w:r>
      <w:r w:rsidR="007F32DB">
        <w:rPr>
          <w:rFonts w:ascii="Times New Roman" w:hAnsi="Times New Roman" w:cs="Times New Roman"/>
          <w:sz w:val="24"/>
          <w:szCs w:val="24"/>
        </w:rPr>
        <w:t xml:space="preserve"> highest to 14</w:t>
      </w:r>
      <w:r w:rsidR="007F32DB" w:rsidRPr="007F32DB">
        <w:rPr>
          <w:rFonts w:ascii="Times New Roman" w:hAnsi="Times New Roman" w:cs="Times New Roman"/>
          <w:sz w:val="24"/>
          <w:szCs w:val="24"/>
          <w:vertAlign w:val="superscript"/>
        </w:rPr>
        <w:t>th</w:t>
      </w:r>
      <w:r w:rsidR="007F32DB">
        <w:rPr>
          <w:rFonts w:ascii="Times New Roman" w:hAnsi="Times New Roman" w:cs="Times New Roman"/>
          <w:sz w:val="24"/>
          <w:szCs w:val="24"/>
        </w:rPr>
        <w:t xml:space="preserve"> highest by 2012. </w:t>
      </w:r>
      <w:r w:rsidR="007F32DB">
        <w:rPr>
          <w:rFonts w:ascii="Times New Roman" w:hAnsi="Times New Roman" w:cs="Times New Roman"/>
          <w:sz w:val="24"/>
          <w:szCs w:val="24"/>
          <w:u w:val="single"/>
        </w:rPr>
        <w:t>Again, the U.S. shifted from being an international leader in male te</w:t>
      </w:r>
      <w:r w:rsidR="004639B8">
        <w:rPr>
          <w:rFonts w:ascii="Times New Roman" w:hAnsi="Times New Roman" w:cs="Times New Roman"/>
          <w:sz w:val="24"/>
          <w:szCs w:val="24"/>
          <w:u w:val="single"/>
        </w:rPr>
        <w:t>e</w:t>
      </w:r>
      <w:r w:rsidR="007F32DB">
        <w:rPr>
          <w:rFonts w:ascii="Times New Roman" w:hAnsi="Times New Roman" w:cs="Times New Roman"/>
          <w:sz w:val="24"/>
          <w:szCs w:val="24"/>
          <w:u w:val="single"/>
        </w:rPr>
        <w:t>n employment in 2000 to the middle of the pack in 2012</w:t>
      </w:r>
      <w:r w:rsidR="00632A45">
        <w:rPr>
          <w:rFonts w:ascii="Times New Roman" w:hAnsi="Times New Roman" w:cs="Times New Roman"/>
          <w:sz w:val="24"/>
          <w:szCs w:val="24"/>
        </w:rPr>
        <w:t>. (</w:t>
      </w:r>
      <w:r w:rsidR="007F32DB">
        <w:rPr>
          <w:rFonts w:ascii="Times New Roman" w:hAnsi="Times New Roman" w:cs="Times New Roman"/>
          <w:sz w:val="24"/>
          <w:szCs w:val="24"/>
        </w:rPr>
        <w:t xml:space="preserve">Table </w:t>
      </w:r>
      <w:r w:rsidR="00601611">
        <w:rPr>
          <w:rFonts w:ascii="Times New Roman" w:hAnsi="Times New Roman" w:cs="Times New Roman"/>
          <w:sz w:val="24"/>
          <w:szCs w:val="24"/>
        </w:rPr>
        <w:t>3</w:t>
      </w:r>
      <w:r w:rsidR="007F32DB">
        <w:rPr>
          <w:rFonts w:ascii="Times New Roman" w:hAnsi="Times New Roman" w:cs="Times New Roman"/>
          <w:sz w:val="24"/>
          <w:szCs w:val="24"/>
        </w:rPr>
        <w:t>).</w:t>
      </w: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1601F5">
      <w:pPr>
        <w:spacing w:before="120" w:line="360" w:lineRule="auto"/>
        <w:ind w:firstLine="720"/>
        <w:jc w:val="both"/>
        <w:rPr>
          <w:rFonts w:ascii="Times New Roman" w:hAnsi="Times New Roman" w:cs="Times New Roman"/>
          <w:sz w:val="24"/>
          <w:szCs w:val="24"/>
        </w:rPr>
      </w:pPr>
    </w:p>
    <w:p w:rsidR="00C82D21" w:rsidRDefault="00C82D21" w:rsidP="00632A45">
      <w:pPr>
        <w:jc w:val="center"/>
        <w:rPr>
          <w:rFonts w:ascii="Times" w:hAnsi="Times" w:cs="Times"/>
          <w:sz w:val="24"/>
          <w:szCs w:val="24"/>
          <w:u w:val="single"/>
        </w:rPr>
      </w:pPr>
    </w:p>
    <w:p w:rsidR="00632A45" w:rsidRDefault="00C82D21" w:rsidP="00632A45">
      <w:pPr>
        <w:jc w:val="center"/>
        <w:rPr>
          <w:rFonts w:ascii="Times" w:hAnsi="Times" w:cs="Times"/>
          <w:sz w:val="24"/>
          <w:szCs w:val="24"/>
          <w:u w:val="single"/>
        </w:rPr>
      </w:pPr>
      <w:r>
        <w:rPr>
          <w:rFonts w:ascii="Times" w:hAnsi="Times" w:cs="Times"/>
          <w:sz w:val="24"/>
          <w:szCs w:val="24"/>
          <w:u w:val="single"/>
        </w:rPr>
        <w:lastRenderedPageBreak/>
        <w:t>Table 3</w:t>
      </w:r>
      <w:r w:rsidR="00632A45">
        <w:rPr>
          <w:rFonts w:ascii="Times" w:hAnsi="Times" w:cs="Times"/>
          <w:sz w:val="24"/>
          <w:szCs w:val="24"/>
          <w:u w:val="single"/>
        </w:rPr>
        <w:t xml:space="preserve">: </w:t>
      </w:r>
    </w:p>
    <w:p w:rsidR="00632A45" w:rsidRDefault="00632A45" w:rsidP="00632A45">
      <w:pPr>
        <w:jc w:val="center"/>
        <w:rPr>
          <w:rFonts w:ascii="Times" w:hAnsi="Times" w:cs="Times"/>
          <w:sz w:val="24"/>
          <w:szCs w:val="24"/>
          <w:u w:val="single"/>
        </w:rPr>
      </w:pPr>
      <w:r>
        <w:rPr>
          <w:rFonts w:ascii="Times" w:hAnsi="Times" w:cs="Times"/>
          <w:sz w:val="24"/>
          <w:szCs w:val="24"/>
          <w:u w:val="single"/>
        </w:rPr>
        <w:t>Trends in the E/P Ratios of Male Teens in Individual OECD Countries 2000-2012 in %</w:t>
      </w:r>
    </w:p>
    <w:p w:rsidR="00632A45" w:rsidRPr="00782A76" w:rsidRDefault="00632A45" w:rsidP="00632A45">
      <w:pPr>
        <w:jc w:val="center"/>
        <w:rPr>
          <w:rFonts w:ascii="Times" w:hAnsi="Times" w:cs="Times"/>
          <w:sz w:val="12"/>
          <w:szCs w:val="12"/>
          <w:u w:val="single"/>
        </w:rPr>
      </w:pPr>
    </w:p>
    <w:tbl>
      <w:tblPr>
        <w:tblW w:w="6382" w:type="dxa"/>
        <w:jc w:val="center"/>
        <w:tblInd w:w="-391" w:type="dxa"/>
        <w:tblLook w:val="04A0" w:firstRow="1" w:lastRow="0" w:firstColumn="1" w:lastColumn="0" w:noHBand="0" w:noVBand="1"/>
      </w:tblPr>
      <w:tblGrid>
        <w:gridCol w:w="1935"/>
        <w:gridCol w:w="266"/>
        <w:gridCol w:w="887"/>
        <w:gridCol w:w="882"/>
        <w:gridCol w:w="1689"/>
        <w:gridCol w:w="723"/>
      </w:tblGrid>
      <w:tr w:rsidR="00632A45" w:rsidRPr="00EA770D" w:rsidTr="0025650E">
        <w:trPr>
          <w:trHeight w:val="331"/>
          <w:jc w:val="center"/>
        </w:trPr>
        <w:tc>
          <w:tcPr>
            <w:tcW w:w="1935" w:type="dxa"/>
            <w:tcBorders>
              <w:top w:val="single" w:sz="4" w:space="0" w:color="auto"/>
              <w:left w:val="nil"/>
              <w:bottom w:val="single" w:sz="8" w:space="0" w:color="auto"/>
              <w:right w:val="nil"/>
            </w:tcBorders>
            <w:shd w:val="clear" w:color="auto" w:fill="auto"/>
            <w:vAlign w:val="bottom"/>
            <w:hideMark/>
          </w:tcPr>
          <w:p w:rsidR="00632A45" w:rsidRPr="00EA770D" w:rsidRDefault="002479DE" w:rsidP="0025650E">
            <w:pPr>
              <w:rPr>
                <w:rFonts w:ascii="Times" w:eastAsia="Times New Roman" w:hAnsi="Times" w:cs="Times"/>
                <w:sz w:val="24"/>
                <w:szCs w:val="24"/>
              </w:rPr>
            </w:pPr>
            <w:hyperlink r:id="rId15" w:tooltip="Select variables" w:history="1">
              <w:r w:rsidR="00632A45" w:rsidRPr="00EA770D">
                <w:rPr>
                  <w:rFonts w:ascii="Times" w:eastAsia="Times New Roman" w:hAnsi="Times" w:cs="Times"/>
                  <w:sz w:val="24"/>
                  <w:szCs w:val="24"/>
                </w:rPr>
                <w:t>Country</w:t>
              </w:r>
            </w:hyperlink>
          </w:p>
        </w:tc>
        <w:tc>
          <w:tcPr>
            <w:tcW w:w="266" w:type="dxa"/>
            <w:tcBorders>
              <w:top w:val="single" w:sz="4" w:space="0" w:color="auto"/>
              <w:left w:val="nil"/>
              <w:bottom w:val="single" w:sz="8" w:space="0" w:color="auto"/>
              <w:right w:val="nil"/>
            </w:tcBorders>
            <w:shd w:val="clear" w:color="auto" w:fill="auto"/>
            <w:vAlign w:val="bottom"/>
            <w:hideMark/>
          </w:tcPr>
          <w:p w:rsidR="00632A45" w:rsidRPr="00EA770D" w:rsidRDefault="00632A45" w:rsidP="0025650E">
            <w:pPr>
              <w:rPr>
                <w:rFonts w:ascii="Calibri" w:eastAsia="Times New Roman" w:hAnsi="Calibri" w:cs="Times New Roman"/>
                <w:color w:val="000000"/>
              </w:rPr>
            </w:pPr>
            <w:r w:rsidRPr="00EA770D">
              <w:rPr>
                <w:rFonts w:ascii="Calibri" w:eastAsia="Times New Roman" w:hAnsi="Calibri" w:cs="Times New Roman"/>
                <w:color w:val="000000"/>
              </w:rPr>
              <w:t> </w:t>
            </w:r>
          </w:p>
        </w:tc>
        <w:tc>
          <w:tcPr>
            <w:tcW w:w="887" w:type="dxa"/>
            <w:tcBorders>
              <w:top w:val="single" w:sz="4" w:space="0" w:color="auto"/>
              <w:left w:val="nil"/>
              <w:bottom w:val="single" w:sz="8" w:space="0" w:color="auto"/>
              <w:right w:val="nil"/>
            </w:tcBorders>
            <w:shd w:val="clear" w:color="auto" w:fill="auto"/>
            <w:vAlign w:val="bottom"/>
            <w:hideMark/>
          </w:tcPr>
          <w:p w:rsidR="00632A45" w:rsidRPr="00EA770D" w:rsidRDefault="00632A45" w:rsidP="0025650E">
            <w:pPr>
              <w:jc w:val="right"/>
              <w:rPr>
                <w:rFonts w:ascii="Times New Roman" w:eastAsia="Times New Roman" w:hAnsi="Times New Roman" w:cs="Times New Roman"/>
                <w:color w:val="000000"/>
                <w:sz w:val="24"/>
                <w:szCs w:val="24"/>
              </w:rPr>
            </w:pPr>
            <w:r w:rsidRPr="00EA770D">
              <w:rPr>
                <w:rFonts w:ascii="Times New Roman" w:eastAsia="Times New Roman" w:hAnsi="Times New Roman" w:cs="Times New Roman"/>
                <w:color w:val="000000"/>
                <w:sz w:val="24"/>
                <w:szCs w:val="24"/>
              </w:rPr>
              <w:t>2000</w:t>
            </w:r>
          </w:p>
        </w:tc>
        <w:tc>
          <w:tcPr>
            <w:tcW w:w="882" w:type="dxa"/>
            <w:tcBorders>
              <w:top w:val="single" w:sz="4" w:space="0" w:color="auto"/>
              <w:left w:val="nil"/>
              <w:bottom w:val="single" w:sz="8" w:space="0" w:color="auto"/>
              <w:right w:val="nil"/>
            </w:tcBorders>
            <w:shd w:val="clear" w:color="auto" w:fill="auto"/>
            <w:vAlign w:val="bottom"/>
            <w:hideMark/>
          </w:tcPr>
          <w:p w:rsidR="00632A45" w:rsidRPr="00EA770D" w:rsidRDefault="00632A45" w:rsidP="0025650E">
            <w:pPr>
              <w:jc w:val="right"/>
              <w:rPr>
                <w:rFonts w:ascii="Times New Roman" w:eastAsia="Times New Roman" w:hAnsi="Times New Roman" w:cs="Times New Roman"/>
                <w:color w:val="000000"/>
                <w:sz w:val="24"/>
                <w:szCs w:val="24"/>
              </w:rPr>
            </w:pPr>
            <w:r w:rsidRPr="00EA770D">
              <w:rPr>
                <w:rFonts w:ascii="Times New Roman" w:eastAsia="Times New Roman" w:hAnsi="Times New Roman" w:cs="Times New Roman"/>
                <w:color w:val="000000"/>
                <w:sz w:val="24"/>
                <w:szCs w:val="24"/>
              </w:rPr>
              <w:t>2012</w:t>
            </w:r>
          </w:p>
        </w:tc>
        <w:tc>
          <w:tcPr>
            <w:tcW w:w="1689" w:type="dxa"/>
            <w:tcBorders>
              <w:top w:val="single" w:sz="4" w:space="0" w:color="auto"/>
              <w:left w:val="nil"/>
              <w:bottom w:val="single" w:sz="8" w:space="0" w:color="auto"/>
              <w:right w:val="nil"/>
            </w:tcBorders>
            <w:shd w:val="clear" w:color="auto" w:fill="auto"/>
            <w:noWrap/>
            <w:vAlign w:val="bottom"/>
            <w:hideMark/>
          </w:tcPr>
          <w:p w:rsidR="00632A45" w:rsidRPr="00EA770D" w:rsidRDefault="00632A45" w:rsidP="0025650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Percentage Point </w:t>
            </w:r>
            <w:r w:rsidRPr="00EA770D">
              <w:rPr>
                <w:rFonts w:ascii="Times New Roman" w:eastAsia="Times New Roman" w:hAnsi="Times New Roman" w:cs="Times New Roman"/>
                <w:color w:val="000000"/>
                <w:sz w:val="24"/>
                <w:szCs w:val="24"/>
              </w:rPr>
              <w:t>Change</w:t>
            </w:r>
          </w:p>
        </w:tc>
        <w:tc>
          <w:tcPr>
            <w:tcW w:w="723" w:type="dxa"/>
            <w:tcBorders>
              <w:top w:val="single" w:sz="4" w:space="0" w:color="auto"/>
              <w:left w:val="nil"/>
              <w:bottom w:val="single" w:sz="8" w:space="0" w:color="auto"/>
              <w:right w:val="nil"/>
            </w:tcBorders>
            <w:shd w:val="clear" w:color="auto" w:fill="auto"/>
            <w:noWrap/>
            <w:vAlign w:val="bottom"/>
            <w:hideMark/>
          </w:tcPr>
          <w:p w:rsidR="00632A45" w:rsidRPr="00EA770D" w:rsidRDefault="00632A45" w:rsidP="0025650E">
            <w:pPr>
              <w:jc w:val="right"/>
              <w:rPr>
                <w:rFonts w:ascii="Times New Roman" w:eastAsia="Times New Roman" w:hAnsi="Times New Roman" w:cs="Times New Roman"/>
                <w:color w:val="000000"/>
                <w:sz w:val="24"/>
                <w:szCs w:val="24"/>
              </w:rPr>
            </w:pPr>
            <w:r w:rsidRPr="00EA770D">
              <w:rPr>
                <w:rFonts w:ascii="Times New Roman" w:eastAsia="Times New Roman" w:hAnsi="Times New Roman" w:cs="Times New Roman"/>
                <w:color w:val="000000"/>
                <w:sz w:val="24"/>
                <w:szCs w:val="24"/>
              </w:rPr>
              <w:t>Rank 2012</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Australia</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48.6</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43.3</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-5.3</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6</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Austria</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43.4</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43.9</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099A">
              <w:rPr>
                <w:rFonts w:ascii="Times New Roman" w:eastAsia="Times New Roman" w:hAnsi="Times New Roman" w:cs="Times New Roman"/>
                <w:sz w:val="24"/>
                <w:szCs w:val="24"/>
              </w:rPr>
              <w:t>0.5</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Belgium</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8.8</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7.1</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-1.7</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22</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Canada</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42.6</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37.7</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-4.9</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8</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Chile</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13.8</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18</w:t>
            </w:r>
            <w:r>
              <w:rPr>
                <w:rFonts w:ascii="Times New Roman" w:eastAsia="Times New Roman" w:hAnsi="Times New Roman" w:cs="Times New Roman"/>
                <w:sz w:val="24"/>
                <w:szCs w:val="24"/>
              </w:rPr>
              <w:t>.0</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099A">
              <w:rPr>
                <w:rFonts w:ascii="Times New Roman" w:eastAsia="Times New Roman" w:hAnsi="Times New Roman" w:cs="Times New Roman"/>
                <w:sz w:val="24"/>
                <w:szCs w:val="24"/>
              </w:rPr>
              <w:t>4.2</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16</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Czech Republic</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11.1</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4.2</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-6.9</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28</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Denmark</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60.6</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44</w:t>
            </w:r>
            <w:r>
              <w:rPr>
                <w:rFonts w:ascii="Times New Roman" w:eastAsia="Times New Roman" w:hAnsi="Times New Roman" w:cs="Times New Roman"/>
                <w:sz w:val="24"/>
                <w:szCs w:val="24"/>
              </w:rPr>
              <w:t>.0</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-16.6</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Finland</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28.1</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23.8</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-4.3</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15</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France</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13.9</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11.8</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-2.1</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19</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Germany</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33.9</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28.1</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-5.8</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13</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Greece</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11.9</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-7.9</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29</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Hungary</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8.4</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2.2</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-6.2</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31</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Iceland</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50.3</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52.4</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099A">
              <w:rPr>
                <w:rFonts w:ascii="Times New Roman" w:eastAsia="Times New Roman" w:hAnsi="Times New Roman" w:cs="Times New Roman"/>
                <w:sz w:val="24"/>
                <w:szCs w:val="24"/>
              </w:rPr>
              <w:t>2.1</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Ireland</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32.4</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8.8</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-23.6</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21</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Italy</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15.2</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5.7</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-9.5</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24</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Japan</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15.8</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13.5</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-2.3</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18</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Korea</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9.8</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5.7</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-4.1</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25</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Luxembourg</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11.3</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-2.3</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20</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Mexico</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52.6</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42</w:t>
            </w:r>
            <w:r>
              <w:rPr>
                <w:rFonts w:ascii="Times New Roman" w:eastAsia="Times New Roman" w:hAnsi="Times New Roman" w:cs="Times New Roman"/>
                <w:sz w:val="24"/>
                <w:szCs w:val="24"/>
              </w:rPr>
              <w:t>.0</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-10.6</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7</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Netherlands</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55.8</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52.3</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-3.5</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New Zealand</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43.7</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31.4</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-12.3</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11</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Norway</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44</w:t>
            </w:r>
            <w:r>
              <w:rPr>
                <w:rFonts w:ascii="Times New Roman" w:eastAsia="Times New Roman" w:hAnsi="Times New Roman" w:cs="Times New Roman"/>
                <w:sz w:val="24"/>
                <w:szCs w:val="24"/>
              </w:rPr>
              <w:t>.0</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34.7</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-9.3</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9</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Poland</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5.5</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-2.5</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26</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Portugal</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26.4</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6.7</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-19.7</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23</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Slovak Republic</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5.3</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2.8</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-2.5</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30</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Spain</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24.4</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5.3</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-19.1</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27</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Sweden</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27.6</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16</w:t>
            </w:r>
            <w:r>
              <w:rPr>
                <w:rFonts w:ascii="Times New Roman" w:eastAsia="Times New Roman" w:hAnsi="Times New Roman" w:cs="Times New Roman"/>
                <w:sz w:val="24"/>
                <w:szCs w:val="24"/>
              </w:rPr>
              <w:t>.0</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-11.6</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17</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Switzerland</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53.3</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53.6</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099A">
              <w:rPr>
                <w:rFonts w:ascii="Times New Roman" w:eastAsia="Times New Roman" w:hAnsi="Times New Roman" w:cs="Times New Roman"/>
                <w:sz w:val="24"/>
                <w:szCs w:val="24"/>
              </w:rPr>
              <w:t>0.3</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w:t>
            </w:r>
          </w:p>
        </w:tc>
      </w:tr>
      <w:tr w:rsidR="00632A45" w:rsidRPr="00BE099A" w:rsidTr="0025650E">
        <w:trPr>
          <w:trHeight w:val="331"/>
          <w:jc w:val="center"/>
        </w:trPr>
        <w:tc>
          <w:tcPr>
            <w:tcW w:w="1935" w:type="dxa"/>
            <w:tcBorders>
              <w:top w:val="nil"/>
              <w:left w:val="nil"/>
              <w:bottom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Turkey</w:t>
            </w:r>
          </w:p>
        </w:tc>
        <w:tc>
          <w:tcPr>
            <w:tcW w:w="266" w:type="dxa"/>
            <w:tcBorders>
              <w:top w:val="nil"/>
              <w:left w:val="nil"/>
              <w:bottom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40.6</w:t>
            </w:r>
          </w:p>
        </w:tc>
        <w:tc>
          <w:tcPr>
            <w:tcW w:w="882"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29.4</w:t>
            </w:r>
          </w:p>
        </w:tc>
        <w:tc>
          <w:tcPr>
            <w:tcW w:w="1689" w:type="dxa"/>
            <w:tcBorders>
              <w:top w:val="nil"/>
              <w:left w:val="nil"/>
              <w:bottom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-11.2</w:t>
            </w:r>
          </w:p>
        </w:tc>
        <w:tc>
          <w:tcPr>
            <w:tcW w:w="723" w:type="dxa"/>
            <w:tcBorders>
              <w:top w:val="nil"/>
              <w:left w:val="nil"/>
              <w:bottom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12</w:t>
            </w:r>
          </w:p>
        </w:tc>
      </w:tr>
      <w:tr w:rsidR="00632A45" w:rsidRPr="00BE099A" w:rsidTr="0025650E">
        <w:trPr>
          <w:trHeight w:val="331"/>
          <w:jc w:val="center"/>
        </w:trPr>
        <w:tc>
          <w:tcPr>
            <w:tcW w:w="1935" w:type="dxa"/>
            <w:tcBorders>
              <w:top w:val="nil"/>
              <w:left w:val="nil"/>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United Kingdom</w:t>
            </w:r>
          </w:p>
        </w:tc>
        <w:tc>
          <w:tcPr>
            <w:tcW w:w="266" w:type="dxa"/>
            <w:tcBorders>
              <w:top w:val="nil"/>
              <w:left w:val="nil"/>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52.9</w:t>
            </w:r>
          </w:p>
        </w:tc>
        <w:tc>
          <w:tcPr>
            <w:tcW w:w="882" w:type="dxa"/>
            <w:tcBorders>
              <w:top w:val="nil"/>
              <w:left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32.1</w:t>
            </w:r>
          </w:p>
        </w:tc>
        <w:tc>
          <w:tcPr>
            <w:tcW w:w="1689" w:type="dxa"/>
            <w:tcBorders>
              <w:top w:val="nil"/>
              <w:left w:val="nil"/>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-20.8</w:t>
            </w:r>
          </w:p>
        </w:tc>
        <w:tc>
          <w:tcPr>
            <w:tcW w:w="723" w:type="dxa"/>
            <w:tcBorders>
              <w:top w:val="nil"/>
              <w:left w:val="nil"/>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10</w:t>
            </w:r>
          </w:p>
        </w:tc>
      </w:tr>
      <w:tr w:rsidR="00632A45" w:rsidRPr="00BE099A" w:rsidTr="0025650E">
        <w:trPr>
          <w:trHeight w:val="331"/>
          <w:jc w:val="center"/>
        </w:trPr>
        <w:tc>
          <w:tcPr>
            <w:tcW w:w="1935" w:type="dxa"/>
            <w:tcBorders>
              <w:top w:val="nil"/>
              <w:left w:val="nil"/>
              <w:bottom w:val="single" w:sz="4" w:space="0" w:color="auto"/>
              <w:right w:val="nil"/>
            </w:tcBorders>
            <w:shd w:val="clear" w:color="auto" w:fill="auto"/>
            <w:vAlign w:val="bottom"/>
            <w:hideMark/>
          </w:tcPr>
          <w:p w:rsidR="00632A45" w:rsidRPr="00BE099A" w:rsidRDefault="00632A45" w:rsidP="0025650E">
            <w:pPr>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United States</w:t>
            </w:r>
          </w:p>
        </w:tc>
        <w:tc>
          <w:tcPr>
            <w:tcW w:w="266" w:type="dxa"/>
            <w:tcBorders>
              <w:top w:val="nil"/>
              <w:left w:val="nil"/>
              <w:bottom w:val="single" w:sz="4" w:space="0" w:color="auto"/>
              <w:right w:val="nil"/>
            </w:tcBorders>
            <w:shd w:val="clear" w:color="auto" w:fill="auto"/>
            <w:vAlign w:val="bottom"/>
            <w:hideMark/>
          </w:tcPr>
          <w:p w:rsidR="00632A45" w:rsidRPr="00BE099A" w:rsidRDefault="00632A45" w:rsidP="0025650E">
            <w:pPr>
              <w:rPr>
                <w:rFonts w:ascii="Calibri" w:eastAsia="Times New Roman" w:hAnsi="Calibri" w:cs="Times New Roman"/>
              </w:rPr>
            </w:pPr>
          </w:p>
        </w:tc>
        <w:tc>
          <w:tcPr>
            <w:tcW w:w="887" w:type="dxa"/>
            <w:tcBorders>
              <w:top w:val="nil"/>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45.4</w:t>
            </w:r>
          </w:p>
        </w:tc>
        <w:tc>
          <w:tcPr>
            <w:tcW w:w="882" w:type="dxa"/>
            <w:tcBorders>
              <w:top w:val="nil"/>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24.9</w:t>
            </w:r>
          </w:p>
        </w:tc>
        <w:tc>
          <w:tcPr>
            <w:tcW w:w="1689" w:type="dxa"/>
            <w:tcBorders>
              <w:top w:val="nil"/>
              <w:left w:val="nil"/>
              <w:bottom w:val="single" w:sz="4" w:space="0" w:color="auto"/>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-20.5</w:t>
            </w:r>
          </w:p>
        </w:tc>
        <w:tc>
          <w:tcPr>
            <w:tcW w:w="723" w:type="dxa"/>
            <w:tcBorders>
              <w:top w:val="nil"/>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sz w:val="24"/>
                <w:szCs w:val="24"/>
              </w:rPr>
            </w:pPr>
            <w:r w:rsidRPr="00BE099A">
              <w:rPr>
                <w:rFonts w:ascii="Times New Roman" w:eastAsia="Times New Roman" w:hAnsi="Times New Roman" w:cs="Times New Roman"/>
                <w:sz w:val="24"/>
                <w:szCs w:val="24"/>
              </w:rPr>
              <w:t>14</w:t>
            </w:r>
          </w:p>
        </w:tc>
      </w:tr>
      <w:tr w:rsidR="00632A45" w:rsidRPr="00BE099A" w:rsidTr="0025650E">
        <w:trPr>
          <w:trHeight w:val="331"/>
          <w:jc w:val="center"/>
        </w:trPr>
        <w:tc>
          <w:tcPr>
            <w:tcW w:w="1935" w:type="dxa"/>
            <w:tcBorders>
              <w:top w:val="single" w:sz="4" w:space="0" w:color="auto"/>
              <w:left w:val="nil"/>
              <w:bottom w:val="single" w:sz="4" w:space="0" w:color="auto"/>
              <w:right w:val="nil"/>
            </w:tcBorders>
            <w:shd w:val="clear" w:color="auto" w:fill="auto"/>
            <w:vAlign w:val="bottom"/>
            <w:hideMark/>
          </w:tcPr>
          <w:p w:rsidR="00632A45" w:rsidRPr="00BE099A" w:rsidRDefault="00632A45" w:rsidP="0025650E">
            <w:pPr>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OECD countries</w:t>
            </w:r>
          </w:p>
        </w:tc>
        <w:tc>
          <w:tcPr>
            <w:tcW w:w="266" w:type="dxa"/>
            <w:tcBorders>
              <w:top w:val="single" w:sz="4" w:space="0" w:color="auto"/>
              <w:left w:val="nil"/>
              <w:bottom w:val="single" w:sz="4" w:space="0" w:color="auto"/>
              <w:right w:val="nil"/>
            </w:tcBorders>
            <w:shd w:val="clear" w:color="auto" w:fill="auto"/>
            <w:vAlign w:val="bottom"/>
            <w:hideMark/>
          </w:tcPr>
          <w:p w:rsidR="00632A45" w:rsidRPr="00BE099A" w:rsidRDefault="00632A45" w:rsidP="0025650E">
            <w:pPr>
              <w:rPr>
                <w:rFonts w:ascii="Calibri" w:eastAsia="Times New Roman" w:hAnsi="Calibri" w:cs="Times New Roman"/>
                <w:b/>
              </w:rPr>
            </w:pPr>
          </w:p>
        </w:tc>
        <w:tc>
          <w:tcPr>
            <w:tcW w:w="887"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33.6</w:t>
            </w:r>
          </w:p>
        </w:tc>
        <w:tc>
          <w:tcPr>
            <w:tcW w:w="882"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24.6</w:t>
            </w:r>
          </w:p>
        </w:tc>
        <w:tc>
          <w:tcPr>
            <w:tcW w:w="1689"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-9</w:t>
            </w:r>
            <w:r w:rsidR="00087165">
              <w:rPr>
                <w:rFonts w:ascii="Times New Roman" w:eastAsia="Times New Roman" w:hAnsi="Times New Roman" w:cs="Times New Roman"/>
                <w:b/>
                <w:sz w:val="24"/>
                <w:szCs w:val="24"/>
              </w:rPr>
              <w:t>.0</w:t>
            </w:r>
          </w:p>
        </w:tc>
        <w:tc>
          <w:tcPr>
            <w:tcW w:w="723"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b/>
                <w:sz w:val="24"/>
                <w:szCs w:val="24"/>
              </w:rPr>
            </w:pPr>
          </w:p>
        </w:tc>
      </w:tr>
      <w:tr w:rsidR="00632A45" w:rsidRPr="00BE099A" w:rsidTr="0025650E">
        <w:trPr>
          <w:trHeight w:val="331"/>
          <w:jc w:val="center"/>
        </w:trPr>
        <w:tc>
          <w:tcPr>
            <w:tcW w:w="1935" w:type="dxa"/>
            <w:tcBorders>
              <w:top w:val="single" w:sz="4" w:space="0" w:color="auto"/>
              <w:left w:val="nil"/>
              <w:bottom w:val="single" w:sz="4" w:space="0" w:color="auto"/>
              <w:right w:val="nil"/>
            </w:tcBorders>
            <w:shd w:val="clear" w:color="auto" w:fill="auto"/>
            <w:vAlign w:val="bottom"/>
            <w:hideMark/>
          </w:tcPr>
          <w:p w:rsidR="00632A45" w:rsidRPr="00BE099A" w:rsidRDefault="00632A45" w:rsidP="0025650E">
            <w:pPr>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U.S. – OECD</w:t>
            </w:r>
          </w:p>
        </w:tc>
        <w:tc>
          <w:tcPr>
            <w:tcW w:w="266" w:type="dxa"/>
            <w:tcBorders>
              <w:top w:val="single" w:sz="4" w:space="0" w:color="auto"/>
              <w:left w:val="nil"/>
              <w:bottom w:val="single" w:sz="4" w:space="0" w:color="auto"/>
              <w:right w:val="nil"/>
            </w:tcBorders>
            <w:shd w:val="clear" w:color="auto" w:fill="auto"/>
            <w:vAlign w:val="bottom"/>
            <w:hideMark/>
          </w:tcPr>
          <w:p w:rsidR="00632A45" w:rsidRPr="00BE099A" w:rsidRDefault="00632A45" w:rsidP="0025650E">
            <w:pPr>
              <w:rPr>
                <w:rFonts w:ascii="Calibri" w:eastAsia="Times New Roman" w:hAnsi="Calibri" w:cs="Times New Roman"/>
                <w:b/>
              </w:rPr>
            </w:pPr>
          </w:p>
        </w:tc>
        <w:tc>
          <w:tcPr>
            <w:tcW w:w="887"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11.8</w:t>
            </w:r>
          </w:p>
        </w:tc>
        <w:tc>
          <w:tcPr>
            <w:tcW w:w="882"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0.3</w:t>
            </w:r>
          </w:p>
        </w:tc>
        <w:tc>
          <w:tcPr>
            <w:tcW w:w="1689"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tabs>
                <w:tab w:val="left" w:pos="1063"/>
              </w:tabs>
              <w:jc w:val="right"/>
              <w:rPr>
                <w:rFonts w:ascii="Times New Roman" w:eastAsia="Times New Roman" w:hAnsi="Times New Roman" w:cs="Times New Roman"/>
                <w:b/>
                <w:sz w:val="24"/>
                <w:szCs w:val="24"/>
              </w:rPr>
            </w:pPr>
            <w:r w:rsidRPr="00BE099A">
              <w:rPr>
                <w:rFonts w:ascii="Times New Roman" w:eastAsia="Times New Roman" w:hAnsi="Times New Roman" w:cs="Times New Roman"/>
                <w:b/>
                <w:sz w:val="24"/>
                <w:szCs w:val="24"/>
              </w:rPr>
              <w:t>-11.5</w:t>
            </w:r>
          </w:p>
        </w:tc>
        <w:tc>
          <w:tcPr>
            <w:tcW w:w="723" w:type="dxa"/>
            <w:tcBorders>
              <w:top w:val="single" w:sz="4" w:space="0" w:color="auto"/>
              <w:left w:val="nil"/>
              <w:bottom w:val="single" w:sz="4" w:space="0" w:color="auto"/>
              <w:right w:val="nil"/>
            </w:tcBorders>
            <w:shd w:val="clear" w:color="auto" w:fill="auto"/>
            <w:noWrap/>
            <w:vAlign w:val="bottom"/>
            <w:hideMark/>
          </w:tcPr>
          <w:p w:rsidR="00632A45" w:rsidRPr="00BE099A" w:rsidRDefault="00632A45" w:rsidP="0025650E">
            <w:pPr>
              <w:jc w:val="right"/>
              <w:rPr>
                <w:rFonts w:ascii="Times New Roman" w:eastAsia="Times New Roman" w:hAnsi="Times New Roman" w:cs="Times New Roman"/>
                <w:b/>
                <w:sz w:val="24"/>
                <w:szCs w:val="24"/>
              </w:rPr>
            </w:pPr>
          </w:p>
        </w:tc>
      </w:tr>
    </w:tbl>
    <w:p w:rsidR="00632A45" w:rsidRPr="00F81B84" w:rsidRDefault="00632A45" w:rsidP="00632A45">
      <w:pPr>
        <w:jc w:val="center"/>
        <w:rPr>
          <w:rFonts w:ascii="Times" w:hAnsi="Times" w:cs="Times"/>
          <w:sz w:val="24"/>
          <w:szCs w:val="24"/>
          <w:u w:val="single"/>
        </w:rPr>
      </w:pPr>
    </w:p>
    <w:p w:rsidR="009A371D" w:rsidRDefault="007F32DB" w:rsidP="00462DEB">
      <w:pPr>
        <w:spacing w:before="120" w:line="360" w:lineRule="auto"/>
        <w:ind w:firstLine="720"/>
        <w:jc w:val="both"/>
        <w:rPr>
          <w:rFonts w:ascii="Times New Roman" w:hAnsi="Times New Roman" w:cs="Times New Roman"/>
          <w:sz w:val="24"/>
          <w:szCs w:val="24"/>
        </w:rPr>
      </w:pPr>
      <w:r w:rsidRPr="009A371D">
        <w:rPr>
          <w:rFonts w:ascii="Times New Roman" w:hAnsi="Times New Roman" w:cs="Times New Roman"/>
          <w:sz w:val="24"/>
          <w:szCs w:val="24"/>
        </w:rPr>
        <w:lastRenderedPageBreak/>
        <w:t>Employment rates of female teens in individual OECD countries also varied widely in 2000</w:t>
      </w:r>
      <w:r w:rsidR="004639B8">
        <w:rPr>
          <w:rFonts w:ascii="Times New Roman" w:hAnsi="Times New Roman" w:cs="Times New Roman"/>
          <w:sz w:val="24"/>
          <w:szCs w:val="24"/>
        </w:rPr>
        <w:t xml:space="preserve"> and 2012</w:t>
      </w:r>
      <w:r w:rsidRPr="009A371D">
        <w:rPr>
          <w:rFonts w:ascii="Times New Roman" w:hAnsi="Times New Roman" w:cs="Times New Roman"/>
          <w:sz w:val="24"/>
          <w:szCs w:val="24"/>
        </w:rPr>
        <w:t xml:space="preserve">. </w:t>
      </w:r>
      <w:r w:rsidR="00601611">
        <w:rPr>
          <w:rFonts w:ascii="Times New Roman" w:hAnsi="Times New Roman" w:cs="Times New Roman"/>
          <w:sz w:val="24"/>
          <w:szCs w:val="24"/>
        </w:rPr>
        <w:t xml:space="preserve">(Table 4). </w:t>
      </w:r>
      <w:r w:rsidR="00940869">
        <w:rPr>
          <w:rFonts w:ascii="Times New Roman" w:hAnsi="Times New Roman" w:cs="Times New Roman"/>
          <w:sz w:val="24"/>
          <w:szCs w:val="24"/>
        </w:rPr>
        <w:t>Throughout the entire OECD bloc</w:t>
      </w:r>
      <w:r w:rsidR="004639B8">
        <w:rPr>
          <w:rFonts w:ascii="Times New Roman" w:hAnsi="Times New Roman" w:cs="Times New Roman"/>
          <w:sz w:val="24"/>
          <w:szCs w:val="24"/>
        </w:rPr>
        <w:t xml:space="preserve"> of nations</w:t>
      </w:r>
      <w:r w:rsidRPr="009A371D">
        <w:rPr>
          <w:rFonts w:ascii="Times New Roman" w:hAnsi="Times New Roman" w:cs="Times New Roman"/>
          <w:sz w:val="24"/>
          <w:szCs w:val="24"/>
        </w:rPr>
        <w:t xml:space="preserve">, approximately 27 of every 100 female teens were working in 2000. These female employment rates ranged from lows </w:t>
      </w:r>
      <w:r w:rsidR="004639B8">
        <w:rPr>
          <w:rFonts w:ascii="Times New Roman" w:hAnsi="Times New Roman" w:cs="Times New Roman"/>
          <w:sz w:val="24"/>
          <w:szCs w:val="24"/>
        </w:rPr>
        <w:t>o</w:t>
      </w:r>
      <w:r w:rsidR="009A371D" w:rsidRPr="009A371D">
        <w:rPr>
          <w:rFonts w:ascii="Times New Roman" w:hAnsi="Times New Roman" w:cs="Times New Roman"/>
          <w:sz w:val="24"/>
          <w:szCs w:val="24"/>
        </w:rPr>
        <w:t>f 5 to 7 percentage points in Belgium, Chile, France, Greece, and Poland to highs of 55 to 63 percent in Denmark, Iceland, the Netherlands, and the U.K.  In the U.S., 45 of every 100 female teens were employed in 2000, an employment rate that was 18 percentage points above the OECD average in that year, and the nation ranked 7</w:t>
      </w:r>
      <w:r w:rsidR="009A371D" w:rsidRPr="009A371D">
        <w:rPr>
          <w:rFonts w:ascii="Times New Roman" w:hAnsi="Times New Roman" w:cs="Times New Roman"/>
          <w:sz w:val="24"/>
          <w:szCs w:val="24"/>
          <w:vertAlign w:val="superscript"/>
        </w:rPr>
        <w:t>th</w:t>
      </w:r>
      <w:r w:rsidR="009A371D" w:rsidRPr="009A371D">
        <w:rPr>
          <w:rFonts w:ascii="Times New Roman" w:hAnsi="Times New Roman" w:cs="Times New Roman"/>
          <w:sz w:val="24"/>
          <w:szCs w:val="24"/>
        </w:rPr>
        <w:t xml:space="preserve"> highest among the</w:t>
      </w:r>
      <w:r w:rsidR="004639B8">
        <w:rPr>
          <w:rFonts w:ascii="Times New Roman" w:hAnsi="Times New Roman" w:cs="Times New Roman"/>
          <w:sz w:val="24"/>
          <w:szCs w:val="24"/>
        </w:rPr>
        <w:t>se</w:t>
      </w:r>
      <w:r w:rsidR="009A371D" w:rsidRPr="009A371D">
        <w:rPr>
          <w:rFonts w:ascii="Times New Roman" w:hAnsi="Times New Roman" w:cs="Times New Roman"/>
          <w:sz w:val="24"/>
          <w:szCs w:val="24"/>
        </w:rPr>
        <w:t xml:space="preserve"> 3</w:t>
      </w:r>
      <w:r w:rsidR="004639B8">
        <w:rPr>
          <w:rFonts w:ascii="Times New Roman" w:hAnsi="Times New Roman" w:cs="Times New Roman"/>
          <w:sz w:val="24"/>
          <w:szCs w:val="24"/>
        </w:rPr>
        <w:t>1</w:t>
      </w:r>
      <w:r w:rsidR="009A371D" w:rsidRPr="009A371D">
        <w:rPr>
          <w:rFonts w:ascii="Times New Roman" w:hAnsi="Times New Roman" w:cs="Times New Roman"/>
          <w:sz w:val="24"/>
          <w:szCs w:val="24"/>
        </w:rPr>
        <w:t xml:space="preserve"> OECD nations.</w:t>
      </w:r>
    </w:p>
    <w:p w:rsidR="009A371D" w:rsidRPr="009A371D" w:rsidRDefault="009A371D" w:rsidP="009A371D">
      <w:pPr>
        <w:spacing w:before="120" w:line="360" w:lineRule="auto"/>
        <w:ind w:firstLine="864"/>
        <w:jc w:val="both"/>
        <w:rPr>
          <w:rFonts w:ascii="Times New Roman" w:hAnsi="Times New Roman" w:cs="Times New Roman"/>
          <w:sz w:val="24"/>
          <w:szCs w:val="24"/>
        </w:rPr>
      </w:pPr>
    </w:p>
    <w:p w:rsidR="009A371D" w:rsidRDefault="009A371D" w:rsidP="009A371D">
      <w:pPr>
        <w:jc w:val="center"/>
        <w:rPr>
          <w:rFonts w:ascii="Times" w:hAnsi="Times" w:cs="Times"/>
          <w:szCs w:val="24"/>
          <w:u w:val="single"/>
        </w:rPr>
      </w:pPr>
      <w:r>
        <w:rPr>
          <w:rFonts w:ascii="Times" w:hAnsi="Times" w:cs="Times"/>
          <w:szCs w:val="24"/>
          <w:u w:val="single"/>
        </w:rPr>
        <w:t xml:space="preserve">Table </w:t>
      </w:r>
      <w:r w:rsidR="00601611">
        <w:rPr>
          <w:rFonts w:ascii="Times" w:hAnsi="Times" w:cs="Times"/>
          <w:szCs w:val="24"/>
          <w:u w:val="single"/>
        </w:rPr>
        <w:t>4</w:t>
      </w:r>
      <w:r>
        <w:rPr>
          <w:rFonts w:ascii="Times" w:hAnsi="Times" w:cs="Times"/>
          <w:szCs w:val="24"/>
          <w:u w:val="single"/>
        </w:rPr>
        <w:t xml:space="preserve">: </w:t>
      </w:r>
    </w:p>
    <w:p w:rsidR="009A371D" w:rsidRDefault="009A371D" w:rsidP="009A371D">
      <w:pPr>
        <w:jc w:val="center"/>
        <w:rPr>
          <w:rFonts w:ascii="Times" w:hAnsi="Times" w:cs="Times"/>
          <w:szCs w:val="24"/>
          <w:u w:val="single"/>
        </w:rPr>
      </w:pPr>
      <w:r>
        <w:rPr>
          <w:rFonts w:ascii="Times" w:hAnsi="Times" w:cs="Times"/>
          <w:szCs w:val="24"/>
          <w:u w:val="single"/>
        </w:rPr>
        <w:t>Trends in the E/P Ratios of Female Teens in Individual OECD Countries,</w:t>
      </w:r>
    </w:p>
    <w:p w:rsidR="009A371D" w:rsidRPr="00BE099A" w:rsidRDefault="009A371D" w:rsidP="009A371D">
      <w:pPr>
        <w:jc w:val="center"/>
        <w:rPr>
          <w:rFonts w:ascii="Times" w:hAnsi="Times" w:cs="Times"/>
          <w:sz w:val="12"/>
          <w:szCs w:val="12"/>
          <w:u w:val="single"/>
        </w:rPr>
      </w:pPr>
      <w:r>
        <w:rPr>
          <w:rFonts w:ascii="Times" w:hAnsi="Times" w:cs="Times"/>
          <w:szCs w:val="24"/>
          <w:u w:val="single"/>
        </w:rPr>
        <w:t xml:space="preserve"> 2000-2012</w:t>
      </w:r>
      <w:r w:rsidR="00462DEB">
        <w:rPr>
          <w:rFonts w:ascii="Times" w:hAnsi="Times" w:cs="Times"/>
          <w:szCs w:val="24"/>
          <w:u w:val="single"/>
        </w:rPr>
        <w:t xml:space="preserve"> </w:t>
      </w:r>
      <w:r>
        <w:rPr>
          <w:rFonts w:ascii="Times" w:hAnsi="Times" w:cs="Times"/>
          <w:szCs w:val="24"/>
          <w:u w:val="single"/>
        </w:rPr>
        <w:t>( in %)</w:t>
      </w:r>
    </w:p>
    <w:tbl>
      <w:tblPr>
        <w:tblW w:w="6796" w:type="dxa"/>
        <w:jc w:val="center"/>
        <w:tblLook w:val="04A0" w:firstRow="1" w:lastRow="0" w:firstColumn="1" w:lastColumn="0" w:noHBand="0" w:noVBand="1"/>
      </w:tblPr>
      <w:tblGrid>
        <w:gridCol w:w="2219"/>
        <w:gridCol w:w="276"/>
        <w:gridCol w:w="951"/>
        <w:gridCol w:w="951"/>
        <w:gridCol w:w="1676"/>
        <w:gridCol w:w="723"/>
      </w:tblGrid>
      <w:tr w:rsidR="009A371D" w:rsidRPr="00F555E6" w:rsidTr="009A371D">
        <w:trPr>
          <w:trHeight w:val="189"/>
          <w:jc w:val="center"/>
        </w:trPr>
        <w:tc>
          <w:tcPr>
            <w:tcW w:w="2219" w:type="dxa"/>
            <w:tcBorders>
              <w:top w:val="single" w:sz="4" w:space="0" w:color="auto"/>
              <w:left w:val="nil"/>
              <w:bottom w:val="single" w:sz="4" w:space="0" w:color="auto"/>
              <w:right w:val="nil"/>
            </w:tcBorders>
            <w:shd w:val="clear" w:color="auto" w:fill="auto"/>
            <w:vAlign w:val="bottom"/>
            <w:hideMark/>
          </w:tcPr>
          <w:p w:rsidR="009A371D" w:rsidRPr="00F555E6" w:rsidRDefault="002479DE" w:rsidP="008A69F5">
            <w:pPr>
              <w:rPr>
                <w:rFonts w:ascii="Times" w:eastAsia="Times New Roman" w:hAnsi="Times" w:cs="Times"/>
                <w:szCs w:val="24"/>
              </w:rPr>
            </w:pPr>
            <w:hyperlink r:id="rId16" w:tooltip="Select variables" w:history="1">
              <w:r w:rsidR="009A371D" w:rsidRPr="00F555E6">
                <w:rPr>
                  <w:rFonts w:ascii="Times" w:eastAsia="Times New Roman" w:hAnsi="Times" w:cs="Times"/>
                  <w:szCs w:val="24"/>
                </w:rPr>
                <w:t>Country</w:t>
              </w:r>
            </w:hyperlink>
          </w:p>
        </w:tc>
        <w:tc>
          <w:tcPr>
            <w:tcW w:w="276" w:type="dxa"/>
            <w:tcBorders>
              <w:top w:val="single" w:sz="4" w:space="0" w:color="auto"/>
              <w:left w:val="nil"/>
              <w:bottom w:val="single" w:sz="4" w:space="0" w:color="auto"/>
              <w:right w:val="nil"/>
            </w:tcBorders>
            <w:shd w:val="clear" w:color="auto" w:fill="auto"/>
            <w:vAlign w:val="bottom"/>
            <w:hideMark/>
          </w:tcPr>
          <w:p w:rsidR="009A371D" w:rsidRPr="00F555E6" w:rsidRDefault="009A371D" w:rsidP="008A69F5">
            <w:pPr>
              <w:rPr>
                <w:rFonts w:ascii="Times" w:eastAsia="Times New Roman" w:hAnsi="Times" w:cs="Times"/>
                <w:bCs/>
                <w:szCs w:val="24"/>
              </w:rPr>
            </w:pPr>
            <w:r w:rsidRPr="00F555E6">
              <w:rPr>
                <w:rFonts w:ascii="Times" w:eastAsia="Times New Roman" w:hAnsi="Times" w:cs="Times"/>
                <w:bCs/>
                <w:szCs w:val="24"/>
              </w:rPr>
              <w:t> </w:t>
            </w:r>
          </w:p>
        </w:tc>
        <w:tc>
          <w:tcPr>
            <w:tcW w:w="951" w:type="dxa"/>
            <w:tcBorders>
              <w:top w:val="single" w:sz="4" w:space="0" w:color="auto"/>
              <w:left w:val="nil"/>
              <w:bottom w:val="single" w:sz="4" w:space="0" w:color="auto"/>
              <w:right w:val="nil"/>
            </w:tcBorders>
            <w:shd w:val="clear" w:color="auto" w:fill="auto"/>
            <w:vAlign w:val="bottom"/>
            <w:hideMark/>
          </w:tcPr>
          <w:p w:rsidR="009A371D" w:rsidRPr="00F555E6" w:rsidRDefault="009A371D" w:rsidP="009A371D">
            <w:pPr>
              <w:jc w:val="right"/>
              <w:rPr>
                <w:rFonts w:ascii="Times" w:eastAsia="Times New Roman" w:hAnsi="Times" w:cs="Times"/>
                <w:bCs/>
                <w:szCs w:val="24"/>
              </w:rPr>
            </w:pPr>
            <w:r w:rsidRPr="00F555E6">
              <w:rPr>
                <w:rFonts w:ascii="Times" w:eastAsia="Times New Roman" w:hAnsi="Times" w:cs="Times"/>
                <w:bCs/>
                <w:szCs w:val="24"/>
              </w:rPr>
              <w:t>2000</w:t>
            </w:r>
          </w:p>
        </w:tc>
        <w:tc>
          <w:tcPr>
            <w:tcW w:w="951" w:type="dxa"/>
            <w:tcBorders>
              <w:top w:val="single" w:sz="4" w:space="0" w:color="auto"/>
              <w:left w:val="nil"/>
              <w:bottom w:val="single" w:sz="4" w:space="0" w:color="auto"/>
              <w:right w:val="nil"/>
            </w:tcBorders>
            <w:shd w:val="clear" w:color="auto" w:fill="auto"/>
            <w:vAlign w:val="bottom"/>
            <w:hideMark/>
          </w:tcPr>
          <w:p w:rsidR="009A371D" w:rsidRPr="00F555E6" w:rsidRDefault="009A371D" w:rsidP="009A371D">
            <w:pPr>
              <w:jc w:val="right"/>
              <w:rPr>
                <w:rFonts w:ascii="Times" w:eastAsia="Times New Roman" w:hAnsi="Times" w:cs="Times"/>
                <w:bCs/>
                <w:szCs w:val="24"/>
              </w:rPr>
            </w:pPr>
            <w:r w:rsidRPr="00F555E6">
              <w:rPr>
                <w:rFonts w:ascii="Times" w:eastAsia="Times New Roman" w:hAnsi="Times" w:cs="Times"/>
                <w:bCs/>
                <w:szCs w:val="24"/>
              </w:rPr>
              <w:t>2012</w:t>
            </w:r>
          </w:p>
        </w:tc>
        <w:tc>
          <w:tcPr>
            <w:tcW w:w="1676" w:type="dxa"/>
            <w:tcBorders>
              <w:top w:val="single" w:sz="4" w:space="0" w:color="auto"/>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Percentage Point Change</w:t>
            </w:r>
          </w:p>
        </w:tc>
        <w:tc>
          <w:tcPr>
            <w:tcW w:w="723" w:type="dxa"/>
            <w:tcBorders>
              <w:top w:val="single" w:sz="4" w:space="0" w:color="auto"/>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Rank 2012</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Australia</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50.9</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48.3</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-2.6</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Austria</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31.7</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33.6</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1.9</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10</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Belgium</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6</w:t>
            </w:r>
            <w:r>
              <w:rPr>
                <w:rFonts w:ascii="Times" w:eastAsia="Times New Roman" w:hAnsi="Times" w:cs="Times"/>
                <w:szCs w:val="24"/>
              </w:rPr>
              <w:t>.0</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4.8</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-1.2</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23</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Canada</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43.9</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41.6</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-2.3</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6</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Chile</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6.3</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11.3</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5</w:t>
            </w:r>
            <w:r>
              <w:rPr>
                <w:rFonts w:ascii="Times" w:eastAsia="Times New Roman" w:hAnsi="Times" w:cs="Times"/>
                <w:szCs w:val="24"/>
              </w:rPr>
              <w:t>.0</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18</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Czech Republic</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8.7</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2.8</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-5.9</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28</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Denmark</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57.3</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48.6</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-8.7</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Finland</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25.5</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25.6</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0.1</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12</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France</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6.8</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7.5</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0.7</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21</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Germany</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27</w:t>
            </w:r>
            <w:r>
              <w:rPr>
                <w:rFonts w:ascii="Times" w:eastAsia="Times New Roman" w:hAnsi="Times" w:cs="Times"/>
                <w:szCs w:val="24"/>
              </w:rPr>
              <w:t>.0</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23.6</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-3.4</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13</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Greece</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6.3</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1.5</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-4.8</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30</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Hungary</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8</w:t>
            </w:r>
            <w:r>
              <w:rPr>
                <w:rFonts w:ascii="Times" w:eastAsia="Times New Roman" w:hAnsi="Times" w:cs="Times"/>
                <w:szCs w:val="24"/>
              </w:rPr>
              <w:t>.0</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1.4</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-6.6</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31</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Iceland</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62.8</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65.7</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2.9</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Ireland</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25.3</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9.6</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-15.7</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19</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Italy</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8.3</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3.5</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-4.8</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26</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Japan</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15</w:t>
            </w:r>
            <w:r>
              <w:rPr>
                <w:rFonts w:ascii="Times" w:eastAsia="Times New Roman" w:hAnsi="Times" w:cs="Times"/>
                <w:szCs w:val="24"/>
              </w:rPr>
              <w:t>.0</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13.6</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-1.4</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16</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Korea</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10.8</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8.3</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-2.5</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20</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Luxembourg</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7.9</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5.2</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-2.7</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22</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Mexico</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28.2</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20.9</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-7.3</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15</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Netherlands</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54.2</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54.4</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0.2</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New Zealand</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44.3</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34.3</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-10</w:t>
            </w:r>
            <w:r>
              <w:rPr>
                <w:rFonts w:ascii="Times" w:eastAsia="Times New Roman" w:hAnsi="Times" w:cs="Times"/>
                <w:szCs w:val="24"/>
              </w:rPr>
              <w:t>.0</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9</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Norway</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43.7</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41</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-2.7</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7</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Poland</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5.1</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3.4</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-1.7</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27</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Portugal</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17.4</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4.4</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-13</w:t>
            </w:r>
            <w:r w:rsidR="00462DEB">
              <w:rPr>
                <w:rFonts w:ascii="Times" w:eastAsia="Times New Roman" w:hAnsi="Times" w:cs="Times"/>
                <w:szCs w:val="24"/>
              </w:rPr>
              <w:t>.0</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24</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lastRenderedPageBreak/>
              <w:t>Slovak Republic</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7.9</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2.2</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-5.7</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29</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Spain</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12.5</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4.2</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-8.3</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25</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Sweden</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31.1</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23.2</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-7.9</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14</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Switzerland</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49.3</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47.3</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-2</w:t>
            </w:r>
            <w:r>
              <w:rPr>
                <w:rFonts w:ascii="Times" w:eastAsia="Times New Roman" w:hAnsi="Times" w:cs="Times"/>
                <w:szCs w:val="24"/>
              </w:rPr>
              <w:t>.0</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w:t>
            </w:r>
          </w:p>
        </w:tc>
      </w:tr>
      <w:tr w:rsidR="009A371D" w:rsidRPr="00782A76" w:rsidTr="008A69F5">
        <w:trPr>
          <w:trHeight w:val="331"/>
          <w:jc w:val="center"/>
        </w:trPr>
        <w:tc>
          <w:tcPr>
            <w:tcW w:w="2219"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Turkey</w:t>
            </w:r>
          </w:p>
        </w:tc>
        <w:tc>
          <w:tcPr>
            <w:tcW w:w="276" w:type="dxa"/>
            <w:tcBorders>
              <w:top w:val="nil"/>
              <w:left w:val="nil"/>
              <w:bottom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22</w:t>
            </w:r>
            <w:r>
              <w:rPr>
                <w:rFonts w:ascii="Times" w:eastAsia="Times New Roman" w:hAnsi="Times" w:cs="Times"/>
                <w:szCs w:val="24"/>
              </w:rPr>
              <w:t>.0</w:t>
            </w:r>
          </w:p>
        </w:tc>
        <w:tc>
          <w:tcPr>
            <w:tcW w:w="951"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13.4</w:t>
            </w:r>
          </w:p>
        </w:tc>
        <w:tc>
          <w:tcPr>
            <w:tcW w:w="1676" w:type="dxa"/>
            <w:tcBorders>
              <w:top w:val="nil"/>
              <w:left w:val="nil"/>
              <w:bottom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-8.6</w:t>
            </w:r>
          </w:p>
        </w:tc>
        <w:tc>
          <w:tcPr>
            <w:tcW w:w="723" w:type="dxa"/>
            <w:tcBorders>
              <w:top w:val="nil"/>
              <w:left w:val="nil"/>
              <w:bottom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17</w:t>
            </w:r>
          </w:p>
        </w:tc>
      </w:tr>
      <w:tr w:rsidR="009A371D" w:rsidRPr="00782A76" w:rsidTr="009A371D">
        <w:trPr>
          <w:trHeight w:val="331"/>
          <w:jc w:val="center"/>
        </w:trPr>
        <w:tc>
          <w:tcPr>
            <w:tcW w:w="2219" w:type="dxa"/>
            <w:tcBorders>
              <w:top w:val="nil"/>
              <w:left w:val="nil"/>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United Kingdom</w:t>
            </w:r>
          </w:p>
        </w:tc>
        <w:tc>
          <w:tcPr>
            <w:tcW w:w="276" w:type="dxa"/>
            <w:tcBorders>
              <w:top w:val="nil"/>
              <w:left w:val="nil"/>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53.3</w:t>
            </w:r>
          </w:p>
        </w:tc>
        <w:tc>
          <w:tcPr>
            <w:tcW w:w="951" w:type="dxa"/>
            <w:tcBorders>
              <w:top w:val="nil"/>
              <w:left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36.2</w:t>
            </w:r>
          </w:p>
        </w:tc>
        <w:tc>
          <w:tcPr>
            <w:tcW w:w="1676" w:type="dxa"/>
            <w:tcBorders>
              <w:top w:val="nil"/>
              <w:left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-17.1</w:t>
            </w:r>
          </w:p>
        </w:tc>
        <w:tc>
          <w:tcPr>
            <w:tcW w:w="723" w:type="dxa"/>
            <w:tcBorders>
              <w:top w:val="nil"/>
              <w:left w:val="nil"/>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8</w:t>
            </w:r>
          </w:p>
        </w:tc>
      </w:tr>
      <w:tr w:rsidR="009A371D" w:rsidRPr="00782A76" w:rsidTr="009A371D">
        <w:trPr>
          <w:trHeight w:val="331"/>
          <w:jc w:val="center"/>
        </w:trPr>
        <w:tc>
          <w:tcPr>
            <w:tcW w:w="2219" w:type="dxa"/>
            <w:tcBorders>
              <w:top w:val="nil"/>
              <w:left w:val="nil"/>
              <w:bottom w:val="single" w:sz="4" w:space="0" w:color="auto"/>
              <w:right w:val="nil"/>
            </w:tcBorders>
            <w:shd w:val="clear" w:color="auto" w:fill="auto"/>
            <w:hideMark/>
          </w:tcPr>
          <w:p w:rsidR="009A371D" w:rsidRPr="00782A76" w:rsidRDefault="009A371D" w:rsidP="008A69F5">
            <w:pPr>
              <w:rPr>
                <w:rFonts w:ascii="Times" w:eastAsia="Times New Roman" w:hAnsi="Times" w:cs="Times"/>
                <w:szCs w:val="24"/>
              </w:rPr>
            </w:pPr>
            <w:r w:rsidRPr="00782A76">
              <w:rPr>
                <w:rFonts w:ascii="Times" w:eastAsia="Times New Roman" w:hAnsi="Times" w:cs="Times"/>
                <w:szCs w:val="24"/>
              </w:rPr>
              <w:t>United States</w:t>
            </w:r>
          </w:p>
        </w:tc>
        <w:tc>
          <w:tcPr>
            <w:tcW w:w="276" w:type="dxa"/>
            <w:tcBorders>
              <w:top w:val="nil"/>
              <w:left w:val="nil"/>
              <w:bottom w:val="single" w:sz="4" w:space="0" w:color="auto"/>
              <w:right w:val="nil"/>
            </w:tcBorders>
            <w:shd w:val="clear" w:color="auto" w:fill="auto"/>
            <w:hideMark/>
          </w:tcPr>
          <w:p w:rsidR="009A371D" w:rsidRPr="00782A76" w:rsidRDefault="009A371D" w:rsidP="008A69F5">
            <w:pPr>
              <w:rPr>
                <w:rFonts w:ascii="Times" w:eastAsia="Times New Roman" w:hAnsi="Times" w:cs="Times"/>
                <w:szCs w:val="24"/>
              </w:rPr>
            </w:pPr>
          </w:p>
        </w:tc>
        <w:tc>
          <w:tcPr>
            <w:tcW w:w="951" w:type="dxa"/>
            <w:tcBorders>
              <w:top w:val="nil"/>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45</w:t>
            </w:r>
            <w:r>
              <w:rPr>
                <w:rFonts w:ascii="Times" w:eastAsia="Times New Roman" w:hAnsi="Times" w:cs="Times"/>
                <w:szCs w:val="24"/>
              </w:rPr>
              <w:t>.0</w:t>
            </w:r>
          </w:p>
        </w:tc>
        <w:tc>
          <w:tcPr>
            <w:tcW w:w="951" w:type="dxa"/>
            <w:tcBorders>
              <w:top w:val="nil"/>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27.3</w:t>
            </w:r>
          </w:p>
        </w:tc>
        <w:tc>
          <w:tcPr>
            <w:tcW w:w="1676" w:type="dxa"/>
            <w:tcBorders>
              <w:top w:val="nil"/>
              <w:left w:val="nil"/>
              <w:bottom w:val="single" w:sz="4" w:space="0" w:color="auto"/>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-17.7</w:t>
            </w:r>
          </w:p>
        </w:tc>
        <w:tc>
          <w:tcPr>
            <w:tcW w:w="723" w:type="dxa"/>
            <w:tcBorders>
              <w:top w:val="nil"/>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szCs w:val="24"/>
              </w:rPr>
            </w:pPr>
            <w:r w:rsidRPr="00782A76">
              <w:rPr>
                <w:rFonts w:ascii="Times" w:eastAsia="Times New Roman" w:hAnsi="Times" w:cs="Times"/>
                <w:szCs w:val="24"/>
              </w:rPr>
              <w:t>11</w:t>
            </w:r>
          </w:p>
        </w:tc>
      </w:tr>
      <w:tr w:rsidR="009A371D" w:rsidRPr="00782A76" w:rsidTr="009A371D">
        <w:trPr>
          <w:trHeight w:val="331"/>
          <w:jc w:val="center"/>
        </w:trPr>
        <w:tc>
          <w:tcPr>
            <w:tcW w:w="2219" w:type="dxa"/>
            <w:tcBorders>
              <w:top w:val="single" w:sz="4" w:space="0" w:color="auto"/>
              <w:left w:val="nil"/>
              <w:right w:val="nil"/>
            </w:tcBorders>
            <w:shd w:val="clear" w:color="auto" w:fill="auto"/>
            <w:hideMark/>
          </w:tcPr>
          <w:p w:rsidR="009A371D" w:rsidRPr="00782A76" w:rsidRDefault="009A371D" w:rsidP="008A69F5">
            <w:pPr>
              <w:rPr>
                <w:rFonts w:ascii="Times" w:eastAsia="Times New Roman" w:hAnsi="Times" w:cs="Times"/>
                <w:b/>
                <w:szCs w:val="24"/>
              </w:rPr>
            </w:pPr>
            <w:r w:rsidRPr="00782A76">
              <w:rPr>
                <w:rFonts w:ascii="Times" w:eastAsia="Times New Roman" w:hAnsi="Times" w:cs="Times"/>
                <w:b/>
                <w:szCs w:val="24"/>
              </w:rPr>
              <w:t>OECD countries</w:t>
            </w:r>
          </w:p>
        </w:tc>
        <w:tc>
          <w:tcPr>
            <w:tcW w:w="276" w:type="dxa"/>
            <w:tcBorders>
              <w:top w:val="single" w:sz="4" w:space="0" w:color="auto"/>
              <w:left w:val="nil"/>
              <w:right w:val="nil"/>
            </w:tcBorders>
            <w:shd w:val="clear" w:color="auto" w:fill="auto"/>
            <w:hideMark/>
          </w:tcPr>
          <w:p w:rsidR="009A371D" w:rsidRPr="00782A76" w:rsidRDefault="009A371D" w:rsidP="008A69F5">
            <w:pPr>
              <w:rPr>
                <w:rFonts w:ascii="Times" w:eastAsia="Times New Roman" w:hAnsi="Times" w:cs="Times"/>
                <w:b/>
                <w:szCs w:val="24"/>
              </w:rPr>
            </w:pPr>
          </w:p>
        </w:tc>
        <w:tc>
          <w:tcPr>
            <w:tcW w:w="951" w:type="dxa"/>
            <w:tcBorders>
              <w:top w:val="single" w:sz="4" w:space="0" w:color="auto"/>
              <w:left w:val="nil"/>
              <w:right w:val="nil"/>
            </w:tcBorders>
            <w:shd w:val="clear" w:color="auto" w:fill="auto"/>
            <w:noWrap/>
            <w:vAlign w:val="center"/>
            <w:hideMark/>
          </w:tcPr>
          <w:p w:rsidR="009A371D" w:rsidRPr="00782A76" w:rsidRDefault="009A371D" w:rsidP="009A371D">
            <w:pPr>
              <w:jc w:val="right"/>
              <w:rPr>
                <w:rFonts w:ascii="Times" w:eastAsia="Times New Roman" w:hAnsi="Times" w:cs="Times"/>
                <w:b/>
                <w:szCs w:val="24"/>
              </w:rPr>
            </w:pPr>
            <w:r w:rsidRPr="00782A76">
              <w:rPr>
                <w:rFonts w:ascii="Times" w:eastAsia="Times New Roman" w:hAnsi="Times" w:cs="Times"/>
                <w:b/>
                <w:szCs w:val="24"/>
              </w:rPr>
              <w:t>26.8</w:t>
            </w:r>
          </w:p>
        </w:tc>
        <w:tc>
          <w:tcPr>
            <w:tcW w:w="951" w:type="dxa"/>
            <w:tcBorders>
              <w:top w:val="single" w:sz="4" w:space="0" w:color="auto"/>
              <w:left w:val="nil"/>
              <w:right w:val="nil"/>
            </w:tcBorders>
            <w:shd w:val="clear" w:color="auto" w:fill="auto"/>
            <w:noWrap/>
            <w:vAlign w:val="center"/>
            <w:hideMark/>
          </w:tcPr>
          <w:p w:rsidR="009A371D" w:rsidRPr="00782A76" w:rsidRDefault="009A371D" w:rsidP="009A371D">
            <w:pPr>
              <w:jc w:val="right"/>
              <w:rPr>
                <w:rFonts w:ascii="Times" w:eastAsia="Times New Roman" w:hAnsi="Times" w:cs="Times"/>
                <w:b/>
                <w:szCs w:val="24"/>
              </w:rPr>
            </w:pPr>
            <w:r w:rsidRPr="00782A76">
              <w:rPr>
                <w:rFonts w:ascii="Times" w:eastAsia="Times New Roman" w:hAnsi="Times" w:cs="Times"/>
                <w:b/>
                <w:szCs w:val="24"/>
              </w:rPr>
              <w:t>20.4</w:t>
            </w:r>
          </w:p>
        </w:tc>
        <w:tc>
          <w:tcPr>
            <w:tcW w:w="1676" w:type="dxa"/>
            <w:tcBorders>
              <w:top w:val="single" w:sz="4" w:space="0" w:color="auto"/>
              <w:left w:val="nil"/>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-6.4</w:t>
            </w:r>
          </w:p>
        </w:tc>
        <w:tc>
          <w:tcPr>
            <w:tcW w:w="723" w:type="dxa"/>
            <w:tcBorders>
              <w:top w:val="single" w:sz="4" w:space="0" w:color="auto"/>
              <w:left w:val="nil"/>
              <w:right w:val="nil"/>
            </w:tcBorders>
            <w:shd w:val="clear" w:color="auto" w:fill="auto"/>
            <w:noWrap/>
            <w:vAlign w:val="center"/>
            <w:hideMark/>
          </w:tcPr>
          <w:p w:rsidR="009A371D" w:rsidRPr="00782A76" w:rsidRDefault="009A371D" w:rsidP="009A371D">
            <w:pPr>
              <w:jc w:val="right"/>
              <w:rPr>
                <w:rFonts w:ascii="Times" w:eastAsia="Times New Roman" w:hAnsi="Times" w:cs="Times"/>
                <w:b/>
                <w:szCs w:val="24"/>
              </w:rPr>
            </w:pPr>
          </w:p>
        </w:tc>
      </w:tr>
      <w:tr w:rsidR="009A371D" w:rsidRPr="00782A76" w:rsidTr="009A371D">
        <w:trPr>
          <w:trHeight w:val="331"/>
          <w:jc w:val="center"/>
        </w:trPr>
        <w:tc>
          <w:tcPr>
            <w:tcW w:w="2219" w:type="dxa"/>
            <w:tcBorders>
              <w:top w:val="nil"/>
              <w:left w:val="nil"/>
              <w:bottom w:val="single" w:sz="4" w:space="0" w:color="auto"/>
              <w:right w:val="nil"/>
            </w:tcBorders>
            <w:shd w:val="clear" w:color="auto" w:fill="auto"/>
            <w:hideMark/>
          </w:tcPr>
          <w:p w:rsidR="009A371D" w:rsidRPr="00782A76" w:rsidRDefault="009A371D" w:rsidP="008A69F5">
            <w:pPr>
              <w:rPr>
                <w:rFonts w:ascii="Times" w:eastAsia="Times New Roman" w:hAnsi="Times" w:cs="Times"/>
                <w:b/>
                <w:szCs w:val="24"/>
              </w:rPr>
            </w:pPr>
            <w:r w:rsidRPr="00782A76">
              <w:rPr>
                <w:rFonts w:ascii="Times" w:eastAsia="Times New Roman" w:hAnsi="Times" w:cs="Times"/>
                <w:b/>
                <w:szCs w:val="24"/>
              </w:rPr>
              <w:t>U.S. – OECD</w:t>
            </w:r>
          </w:p>
        </w:tc>
        <w:tc>
          <w:tcPr>
            <w:tcW w:w="276" w:type="dxa"/>
            <w:tcBorders>
              <w:top w:val="nil"/>
              <w:left w:val="nil"/>
              <w:bottom w:val="single" w:sz="4" w:space="0" w:color="auto"/>
              <w:right w:val="nil"/>
            </w:tcBorders>
            <w:shd w:val="clear" w:color="auto" w:fill="auto"/>
            <w:hideMark/>
          </w:tcPr>
          <w:p w:rsidR="009A371D" w:rsidRPr="00782A76" w:rsidRDefault="009A371D" w:rsidP="008A69F5">
            <w:pPr>
              <w:rPr>
                <w:rFonts w:ascii="Times" w:eastAsia="Times New Roman" w:hAnsi="Times" w:cs="Times"/>
                <w:b/>
                <w:szCs w:val="24"/>
              </w:rPr>
            </w:pPr>
          </w:p>
        </w:tc>
        <w:tc>
          <w:tcPr>
            <w:tcW w:w="951" w:type="dxa"/>
            <w:tcBorders>
              <w:top w:val="nil"/>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b/>
                <w:szCs w:val="24"/>
              </w:rPr>
            </w:pPr>
            <w:r w:rsidRPr="00782A76">
              <w:rPr>
                <w:rFonts w:ascii="Times" w:eastAsia="Times New Roman" w:hAnsi="Times" w:cs="Times"/>
                <w:b/>
                <w:szCs w:val="24"/>
              </w:rPr>
              <w:t>18.2</w:t>
            </w:r>
          </w:p>
        </w:tc>
        <w:tc>
          <w:tcPr>
            <w:tcW w:w="951" w:type="dxa"/>
            <w:tcBorders>
              <w:top w:val="nil"/>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b/>
                <w:szCs w:val="24"/>
              </w:rPr>
            </w:pPr>
            <w:r w:rsidRPr="00782A76">
              <w:rPr>
                <w:rFonts w:ascii="Times" w:eastAsia="Times New Roman" w:hAnsi="Times" w:cs="Times"/>
                <w:b/>
                <w:szCs w:val="24"/>
              </w:rPr>
              <w:t>6.9</w:t>
            </w:r>
          </w:p>
        </w:tc>
        <w:tc>
          <w:tcPr>
            <w:tcW w:w="1676" w:type="dxa"/>
            <w:tcBorders>
              <w:top w:val="nil"/>
              <w:left w:val="nil"/>
              <w:bottom w:val="single" w:sz="4" w:space="0" w:color="auto"/>
              <w:right w:val="nil"/>
            </w:tcBorders>
            <w:shd w:val="clear" w:color="auto" w:fill="auto"/>
            <w:noWrap/>
            <w:hideMark/>
          </w:tcPr>
          <w:p w:rsidR="009A371D" w:rsidRPr="00EF6C01" w:rsidRDefault="009A371D" w:rsidP="009A371D">
            <w:pPr>
              <w:jc w:val="right"/>
              <w:rPr>
                <w:rFonts w:ascii="Times" w:eastAsia="Times New Roman" w:hAnsi="Times" w:cs="Times"/>
                <w:szCs w:val="24"/>
              </w:rPr>
            </w:pPr>
            <w:r w:rsidRPr="00EF6C01">
              <w:rPr>
                <w:rFonts w:ascii="Times" w:eastAsia="Times New Roman" w:hAnsi="Times" w:cs="Times"/>
                <w:szCs w:val="24"/>
              </w:rPr>
              <w:t>-11.3</w:t>
            </w:r>
          </w:p>
        </w:tc>
        <w:tc>
          <w:tcPr>
            <w:tcW w:w="723" w:type="dxa"/>
            <w:tcBorders>
              <w:top w:val="nil"/>
              <w:left w:val="nil"/>
              <w:bottom w:val="single" w:sz="4" w:space="0" w:color="auto"/>
              <w:right w:val="nil"/>
            </w:tcBorders>
            <w:shd w:val="clear" w:color="auto" w:fill="auto"/>
            <w:noWrap/>
            <w:vAlign w:val="center"/>
            <w:hideMark/>
          </w:tcPr>
          <w:p w:rsidR="009A371D" w:rsidRPr="00782A76" w:rsidRDefault="009A371D" w:rsidP="009A371D">
            <w:pPr>
              <w:jc w:val="right"/>
              <w:rPr>
                <w:rFonts w:ascii="Times" w:eastAsia="Times New Roman" w:hAnsi="Times" w:cs="Times"/>
                <w:b/>
                <w:szCs w:val="24"/>
              </w:rPr>
            </w:pPr>
          </w:p>
        </w:tc>
      </w:tr>
    </w:tbl>
    <w:p w:rsidR="009A371D" w:rsidRDefault="009A371D" w:rsidP="009A371D">
      <w:r>
        <w:tab/>
      </w:r>
    </w:p>
    <w:p w:rsidR="009A371D" w:rsidRPr="009A371D" w:rsidRDefault="009A371D" w:rsidP="009A371D">
      <w:pPr>
        <w:spacing w:before="120" w:line="360" w:lineRule="auto"/>
        <w:ind w:firstLine="720"/>
        <w:jc w:val="both"/>
        <w:rPr>
          <w:rFonts w:ascii="Times New Roman" w:hAnsi="Times New Roman" w:cs="Times New Roman"/>
          <w:sz w:val="24"/>
          <w:szCs w:val="24"/>
        </w:rPr>
      </w:pPr>
      <w:r w:rsidRPr="009A371D">
        <w:rPr>
          <w:rFonts w:ascii="Times New Roman" w:hAnsi="Times New Roman" w:cs="Times New Roman"/>
          <w:sz w:val="24"/>
          <w:szCs w:val="24"/>
        </w:rPr>
        <w:t xml:space="preserve">Over the 2000-2012 period, employment </w:t>
      </w:r>
      <w:r w:rsidR="0052382B">
        <w:rPr>
          <w:rFonts w:ascii="Times New Roman" w:hAnsi="Times New Roman" w:cs="Times New Roman"/>
          <w:sz w:val="24"/>
          <w:szCs w:val="24"/>
        </w:rPr>
        <w:t xml:space="preserve">rates </w:t>
      </w:r>
      <w:r w:rsidRPr="009A371D">
        <w:rPr>
          <w:rFonts w:ascii="Times New Roman" w:hAnsi="Times New Roman" w:cs="Times New Roman"/>
          <w:sz w:val="24"/>
          <w:szCs w:val="24"/>
        </w:rPr>
        <w:t>among female teens in the OECD bloc also declined sharply, but the drop was less precipitous than that taking place among their male counterparts.  The combined OECD female teen employment rate fell from 26.8% in 2000 to 20.4% in 2012, a drop of more than 6 percentage points.  In 6 of these OECD countries, including Austria, Chile, and France, female teens either maintained their 2000 employment rate or experienced a modest improvement.  In the remaining 25 OECD countries, the female teen employment rate fell, with n</w:t>
      </w:r>
      <w:r w:rsidR="00940869">
        <w:rPr>
          <w:rFonts w:ascii="Times New Roman" w:hAnsi="Times New Roman" w:cs="Times New Roman"/>
          <w:sz w:val="24"/>
          <w:szCs w:val="24"/>
        </w:rPr>
        <w:t>i</w:t>
      </w:r>
      <w:r w:rsidRPr="009A371D">
        <w:rPr>
          <w:rFonts w:ascii="Times New Roman" w:hAnsi="Times New Roman" w:cs="Times New Roman"/>
          <w:sz w:val="24"/>
          <w:szCs w:val="24"/>
        </w:rPr>
        <w:t xml:space="preserve">ne of these </w:t>
      </w:r>
      <w:r w:rsidR="00940869">
        <w:rPr>
          <w:rFonts w:ascii="Times New Roman" w:hAnsi="Times New Roman" w:cs="Times New Roman"/>
          <w:sz w:val="24"/>
          <w:szCs w:val="24"/>
        </w:rPr>
        <w:t xml:space="preserve">nations </w:t>
      </w:r>
      <w:r w:rsidRPr="009A371D">
        <w:rPr>
          <w:rFonts w:ascii="Times New Roman" w:hAnsi="Times New Roman" w:cs="Times New Roman"/>
          <w:sz w:val="24"/>
          <w:szCs w:val="24"/>
        </w:rPr>
        <w:t xml:space="preserve">encountering a drop of more than 8 percentage points.  </w:t>
      </w:r>
      <w:r w:rsidRPr="009A371D">
        <w:rPr>
          <w:rFonts w:ascii="Times New Roman" w:hAnsi="Times New Roman" w:cs="Times New Roman"/>
          <w:sz w:val="24"/>
          <w:szCs w:val="24"/>
          <w:u w:val="single"/>
        </w:rPr>
        <w:t>The largest percentage point decline took place in the U.S., with the 2012 employment rate of female teens being nearly 18 percentage points below its 2000 level.</w:t>
      </w:r>
      <w:r w:rsidRPr="009A371D">
        <w:rPr>
          <w:rFonts w:ascii="Times New Roman" w:hAnsi="Times New Roman" w:cs="Times New Roman"/>
          <w:sz w:val="24"/>
          <w:szCs w:val="24"/>
        </w:rPr>
        <w:t xml:space="preserve">  The U.S. rank among the 31 nations fell from 7</w:t>
      </w:r>
      <w:r w:rsidRPr="009A371D">
        <w:rPr>
          <w:rFonts w:ascii="Times New Roman" w:hAnsi="Times New Roman" w:cs="Times New Roman"/>
          <w:sz w:val="24"/>
          <w:szCs w:val="24"/>
          <w:vertAlign w:val="superscript"/>
        </w:rPr>
        <w:t>th</w:t>
      </w:r>
      <w:r w:rsidRPr="009A371D">
        <w:rPr>
          <w:rFonts w:ascii="Times New Roman" w:hAnsi="Times New Roman" w:cs="Times New Roman"/>
          <w:sz w:val="24"/>
          <w:szCs w:val="24"/>
        </w:rPr>
        <w:t xml:space="preserve"> highest in 2000 to 15</w:t>
      </w:r>
      <w:r w:rsidRPr="009A371D">
        <w:rPr>
          <w:rFonts w:ascii="Times New Roman" w:hAnsi="Times New Roman" w:cs="Times New Roman"/>
          <w:sz w:val="24"/>
          <w:szCs w:val="24"/>
          <w:vertAlign w:val="superscript"/>
        </w:rPr>
        <w:t>th</w:t>
      </w:r>
      <w:r w:rsidRPr="009A371D">
        <w:rPr>
          <w:rFonts w:ascii="Times New Roman" w:hAnsi="Times New Roman" w:cs="Times New Roman"/>
          <w:sz w:val="24"/>
          <w:szCs w:val="24"/>
        </w:rPr>
        <w:t xml:space="preserve"> highest in 2012.  The performance of the U.S. still remained </w:t>
      </w:r>
      <w:r w:rsidR="0052382B">
        <w:rPr>
          <w:rFonts w:ascii="Times New Roman" w:hAnsi="Times New Roman" w:cs="Times New Roman"/>
          <w:sz w:val="24"/>
          <w:szCs w:val="24"/>
        </w:rPr>
        <w:t xml:space="preserve">modestly </w:t>
      </w:r>
      <w:r w:rsidRPr="009A371D">
        <w:rPr>
          <w:rFonts w:ascii="Times New Roman" w:hAnsi="Times New Roman" w:cs="Times New Roman"/>
          <w:sz w:val="24"/>
          <w:szCs w:val="24"/>
        </w:rPr>
        <w:t xml:space="preserve">above average in 2012; however, the absolute size of the nation’s female teen employment rate advantage fell fairly sharply from 18 percentage points in 2000 to only 7 percentage points in 2012.  </w:t>
      </w:r>
    </w:p>
    <w:p w:rsidR="009A371D" w:rsidRPr="009A371D" w:rsidRDefault="009A371D" w:rsidP="002A16E0">
      <w:pPr>
        <w:spacing w:before="120" w:line="360" w:lineRule="auto"/>
        <w:ind w:firstLine="720"/>
        <w:jc w:val="both"/>
        <w:rPr>
          <w:rFonts w:ascii="Times New Roman" w:hAnsi="Times New Roman" w:cs="Times New Roman"/>
          <w:sz w:val="24"/>
          <w:szCs w:val="24"/>
        </w:rPr>
      </w:pPr>
      <w:r w:rsidRPr="009A371D">
        <w:rPr>
          <w:rFonts w:ascii="Times New Roman" w:hAnsi="Times New Roman" w:cs="Times New Roman"/>
          <w:sz w:val="24"/>
          <w:szCs w:val="24"/>
        </w:rPr>
        <w:t xml:space="preserve">The differential rates of change in the employment rates </w:t>
      </w:r>
      <w:r w:rsidR="00940869">
        <w:rPr>
          <w:rFonts w:ascii="Times New Roman" w:hAnsi="Times New Roman" w:cs="Times New Roman"/>
          <w:sz w:val="24"/>
          <w:szCs w:val="24"/>
        </w:rPr>
        <w:t xml:space="preserve">of teens </w:t>
      </w:r>
      <w:r w:rsidRPr="009A371D">
        <w:rPr>
          <w:rFonts w:ascii="Times New Roman" w:hAnsi="Times New Roman" w:cs="Times New Roman"/>
          <w:sz w:val="24"/>
          <w:szCs w:val="24"/>
        </w:rPr>
        <w:t xml:space="preserve">by gender over the last twelve years in many OECD countries, including the U.S., have led to an increase in the number of countries in which the female teen employment rate exceeded that of men in 2012.  In the U.S. and other </w:t>
      </w:r>
      <w:r w:rsidR="00940869">
        <w:rPr>
          <w:rFonts w:ascii="Times New Roman" w:hAnsi="Times New Roman" w:cs="Times New Roman"/>
          <w:sz w:val="24"/>
          <w:szCs w:val="24"/>
        </w:rPr>
        <w:t xml:space="preserve">OECD </w:t>
      </w:r>
      <w:r w:rsidRPr="009A371D">
        <w:rPr>
          <w:rFonts w:ascii="Times New Roman" w:hAnsi="Times New Roman" w:cs="Times New Roman"/>
          <w:sz w:val="24"/>
          <w:szCs w:val="24"/>
        </w:rPr>
        <w:t>countries</w:t>
      </w:r>
      <w:r w:rsidR="00940869">
        <w:rPr>
          <w:rFonts w:ascii="Times New Roman" w:hAnsi="Times New Roman" w:cs="Times New Roman"/>
          <w:sz w:val="24"/>
          <w:szCs w:val="24"/>
        </w:rPr>
        <w:t>,</w:t>
      </w:r>
      <w:r w:rsidRPr="009A371D">
        <w:rPr>
          <w:rFonts w:ascii="Times New Roman" w:hAnsi="Times New Roman" w:cs="Times New Roman"/>
          <w:sz w:val="24"/>
          <w:szCs w:val="24"/>
        </w:rPr>
        <w:t xml:space="preserve"> teen males were more adversely affected by the decline in goods-producing employment</w:t>
      </w:r>
      <w:r w:rsidR="0052382B">
        <w:rPr>
          <w:rFonts w:ascii="Times New Roman" w:hAnsi="Times New Roman" w:cs="Times New Roman"/>
          <w:sz w:val="24"/>
          <w:szCs w:val="24"/>
        </w:rPr>
        <w:t>, which reduced blue collar job opportunities for male teens</w:t>
      </w:r>
      <w:r w:rsidRPr="009A371D">
        <w:rPr>
          <w:rFonts w:ascii="Times New Roman" w:hAnsi="Times New Roman" w:cs="Times New Roman"/>
          <w:sz w:val="24"/>
          <w:szCs w:val="24"/>
        </w:rPr>
        <w:t>.  In 2000, the female teen employment rate was higher than that of men in 8 OECD countries.</w:t>
      </w:r>
      <w:r w:rsidRPr="009A371D">
        <w:rPr>
          <w:rStyle w:val="FootnoteReference"/>
          <w:rFonts w:ascii="Times New Roman" w:hAnsi="Times New Roman" w:cs="Times New Roman"/>
          <w:sz w:val="24"/>
          <w:szCs w:val="24"/>
        </w:rPr>
        <w:footnoteReference w:id="9"/>
      </w:r>
      <w:r w:rsidRPr="009A371D">
        <w:rPr>
          <w:rFonts w:ascii="Times New Roman" w:hAnsi="Times New Roman" w:cs="Times New Roman"/>
          <w:sz w:val="24"/>
          <w:szCs w:val="24"/>
        </w:rPr>
        <w:t xml:space="preserve">  </w:t>
      </w:r>
      <w:r w:rsidRPr="0052382B">
        <w:rPr>
          <w:rFonts w:ascii="Times New Roman" w:hAnsi="Times New Roman" w:cs="Times New Roman"/>
          <w:sz w:val="24"/>
          <w:szCs w:val="24"/>
          <w:u w:val="single"/>
        </w:rPr>
        <w:t xml:space="preserve">By 2012, the number of OECD countries in which the gender gap favored </w:t>
      </w:r>
      <w:r w:rsidR="00940869" w:rsidRPr="0052382B">
        <w:rPr>
          <w:rFonts w:ascii="Times New Roman" w:hAnsi="Times New Roman" w:cs="Times New Roman"/>
          <w:sz w:val="24"/>
          <w:szCs w:val="24"/>
          <w:u w:val="single"/>
        </w:rPr>
        <w:t>wo</w:t>
      </w:r>
      <w:r w:rsidRPr="0052382B">
        <w:rPr>
          <w:rFonts w:ascii="Times New Roman" w:hAnsi="Times New Roman" w:cs="Times New Roman"/>
          <w:sz w:val="24"/>
          <w:szCs w:val="24"/>
          <w:u w:val="single"/>
        </w:rPr>
        <w:t xml:space="preserve">men had risen to 13 (see Table </w:t>
      </w:r>
      <w:r w:rsidR="0052382B">
        <w:rPr>
          <w:rFonts w:ascii="Times New Roman" w:hAnsi="Times New Roman" w:cs="Times New Roman"/>
          <w:sz w:val="24"/>
          <w:szCs w:val="24"/>
          <w:u w:val="single"/>
        </w:rPr>
        <w:lastRenderedPageBreak/>
        <w:t>5</w:t>
      </w:r>
      <w:r w:rsidRPr="0052382B">
        <w:rPr>
          <w:rFonts w:ascii="Times New Roman" w:hAnsi="Times New Roman" w:cs="Times New Roman"/>
          <w:sz w:val="24"/>
          <w:szCs w:val="24"/>
          <w:u w:val="single"/>
        </w:rPr>
        <w:t>).</w:t>
      </w:r>
      <w:r w:rsidRPr="009A371D">
        <w:rPr>
          <w:rFonts w:ascii="Times New Roman" w:hAnsi="Times New Roman" w:cs="Times New Roman"/>
          <w:sz w:val="24"/>
          <w:szCs w:val="24"/>
        </w:rPr>
        <w:t xml:space="preserve">  The size of these gender gaps ranged from slightly under one percentage point in Ireland to 6 to 13 percentage points in Norway, Sweden, and Iceland.  The deterioration in male teen employment has had adverse effects on their employment rates as young adults (20-24) and their ability to form independent households and to marry. </w:t>
      </w:r>
    </w:p>
    <w:p w:rsidR="009A371D" w:rsidRPr="009A371D" w:rsidRDefault="009A371D" w:rsidP="009A371D">
      <w:pPr>
        <w:jc w:val="center"/>
        <w:rPr>
          <w:rFonts w:ascii="Times New Roman" w:hAnsi="Times New Roman" w:cs="Times New Roman"/>
          <w:sz w:val="24"/>
          <w:szCs w:val="24"/>
          <w:u w:val="single"/>
        </w:rPr>
      </w:pPr>
      <w:r w:rsidRPr="009A371D">
        <w:rPr>
          <w:rFonts w:ascii="Times New Roman" w:hAnsi="Times New Roman" w:cs="Times New Roman"/>
          <w:sz w:val="24"/>
          <w:szCs w:val="24"/>
          <w:u w:val="single"/>
        </w:rPr>
        <w:t xml:space="preserve">Table </w:t>
      </w:r>
      <w:r w:rsidR="0052382B">
        <w:rPr>
          <w:rFonts w:ascii="Times New Roman" w:hAnsi="Times New Roman" w:cs="Times New Roman"/>
          <w:sz w:val="24"/>
          <w:szCs w:val="24"/>
          <w:u w:val="single"/>
        </w:rPr>
        <w:t>5</w:t>
      </w:r>
      <w:r w:rsidRPr="009A371D">
        <w:rPr>
          <w:rFonts w:ascii="Times New Roman" w:hAnsi="Times New Roman" w:cs="Times New Roman"/>
          <w:sz w:val="24"/>
          <w:szCs w:val="24"/>
          <w:u w:val="single"/>
        </w:rPr>
        <w:t>:</w:t>
      </w:r>
    </w:p>
    <w:p w:rsidR="009A371D" w:rsidRPr="009A371D" w:rsidRDefault="009A371D" w:rsidP="009A371D">
      <w:pPr>
        <w:jc w:val="center"/>
        <w:rPr>
          <w:rFonts w:ascii="Times New Roman" w:hAnsi="Times New Roman" w:cs="Times New Roman"/>
          <w:sz w:val="24"/>
          <w:szCs w:val="24"/>
          <w:u w:val="single"/>
        </w:rPr>
      </w:pPr>
      <w:r w:rsidRPr="009A371D">
        <w:rPr>
          <w:rFonts w:ascii="Times New Roman" w:hAnsi="Times New Roman" w:cs="Times New Roman"/>
          <w:sz w:val="24"/>
          <w:szCs w:val="24"/>
          <w:u w:val="single"/>
        </w:rPr>
        <w:t xml:space="preserve">Countries in Which </w:t>
      </w:r>
      <w:r w:rsidR="00940869">
        <w:rPr>
          <w:rFonts w:ascii="Times New Roman" w:hAnsi="Times New Roman" w:cs="Times New Roman"/>
          <w:sz w:val="24"/>
          <w:szCs w:val="24"/>
          <w:u w:val="single"/>
        </w:rPr>
        <w:t xml:space="preserve">the </w:t>
      </w:r>
      <w:r w:rsidRPr="009A371D">
        <w:rPr>
          <w:rFonts w:ascii="Times New Roman" w:hAnsi="Times New Roman" w:cs="Times New Roman"/>
          <w:sz w:val="24"/>
          <w:szCs w:val="24"/>
          <w:u w:val="single"/>
        </w:rPr>
        <w:t>Female Teen E/P Rate is Above That of Men in 2012</w:t>
      </w:r>
      <w:r w:rsidR="0052382B">
        <w:rPr>
          <w:rFonts w:ascii="Times New Roman" w:hAnsi="Times New Roman" w:cs="Times New Roman"/>
          <w:sz w:val="24"/>
          <w:szCs w:val="24"/>
          <w:u w:val="single"/>
        </w:rPr>
        <w:t xml:space="preserve"> (In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0"/>
        <w:gridCol w:w="1494"/>
        <w:gridCol w:w="1746"/>
      </w:tblGrid>
      <w:tr w:rsidR="009A371D" w:rsidRPr="009A371D" w:rsidTr="009A371D">
        <w:trPr>
          <w:jc w:val="center"/>
        </w:trPr>
        <w:tc>
          <w:tcPr>
            <w:tcW w:w="1980" w:type="dxa"/>
            <w:tcBorders>
              <w:top w:val="single" w:sz="4" w:space="0" w:color="auto"/>
              <w:bottom w:val="single" w:sz="4" w:space="0" w:color="auto"/>
            </w:tcBorders>
          </w:tcPr>
          <w:p w:rsidR="009A371D" w:rsidRPr="009A371D" w:rsidRDefault="009A371D" w:rsidP="008A69F5">
            <w:pPr>
              <w:rPr>
                <w:rFonts w:ascii="Times New Roman" w:hAnsi="Times New Roman" w:cs="Times New Roman"/>
                <w:sz w:val="24"/>
                <w:szCs w:val="24"/>
              </w:rPr>
            </w:pPr>
          </w:p>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Country</w:t>
            </w:r>
          </w:p>
        </w:tc>
        <w:tc>
          <w:tcPr>
            <w:tcW w:w="1620" w:type="dxa"/>
            <w:tcBorders>
              <w:top w:val="single" w:sz="4" w:space="0" w:color="auto"/>
              <w:bottom w:val="single" w:sz="4" w:space="0" w:color="auto"/>
            </w:tcBorders>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(A)</w:t>
            </w:r>
          </w:p>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Women</w:t>
            </w:r>
          </w:p>
        </w:tc>
        <w:tc>
          <w:tcPr>
            <w:tcW w:w="1494" w:type="dxa"/>
            <w:tcBorders>
              <w:top w:val="single" w:sz="4" w:space="0" w:color="auto"/>
              <w:bottom w:val="single" w:sz="4" w:space="0" w:color="auto"/>
            </w:tcBorders>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(B)</w:t>
            </w:r>
          </w:p>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Men</w:t>
            </w:r>
          </w:p>
        </w:tc>
        <w:tc>
          <w:tcPr>
            <w:tcW w:w="1746" w:type="dxa"/>
            <w:tcBorders>
              <w:top w:val="single" w:sz="4" w:space="0" w:color="auto"/>
              <w:bottom w:val="single" w:sz="4" w:space="0" w:color="auto"/>
            </w:tcBorders>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(C)</w:t>
            </w:r>
          </w:p>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Women - Men</w:t>
            </w:r>
          </w:p>
        </w:tc>
      </w:tr>
      <w:tr w:rsidR="009A371D" w:rsidRPr="009A371D" w:rsidTr="008A69F5">
        <w:trPr>
          <w:trHeight w:val="374"/>
          <w:jc w:val="center"/>
        </w:trPr>
        <w:tc>
          <w:tcPr>
            <w:tcW w:w="1980" w:type="dxa"/>
            <w:tcBorders>
              <w:top w:val="single" w:sz="4" w:space="0" w:color="auto"/>
            </w:tcBorders>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Australia</w:t>
            </w:r>
          </w:p>
        </w:tc>
        <w:tc>
          <w:tcPr>
            <w:tcW w:w="1620" w:type="dxa"/>
            <w:tcBorders>
              <w:top w:val="single" w:sz="4" w:space="0" w:color="auto"/>
            </w:tcBorders>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48.3</w:t>
            </w:r>
          </w:p>
        </w:tc>
        <w:tc>
          <w:tcPr>
            <w:tcW w:w="1494" w:type="dxa"/>
            <w:tcBorders>
              <w:top w:val="single" w:sz="4" w:space="0" w:color="auto"/>
            </w:tcBorders>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43.3</w:t>
            </w:r>
          </w:p>
        </w:tc>
        <w:tc>
          <w:tcPr>
            <w:tcW w:w="1746" w:type="dxa"/>
            <w:tcBorders>
              <w:top w:val="single" w:sz="4" w:space="0" w:color="auto"/>
            </w:tcBorders>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+5.0</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Canada</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41.6</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37.7</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+3.9</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Denmark</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48.6</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44.0</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+4.6</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Finland</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25.6</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23.8</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+1.8</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Iceland</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65.7</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52.4</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+13.3</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Ireland</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9.6</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8.8</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+0.8</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South Korea</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8.3</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5.7</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+2.6</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New Zealand</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34.3</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31.4</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+2.9</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Netherlands</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54.4</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52.3</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+2.1</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Norway</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41.0</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34.7</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+6.3</w:t>
            </w:r>
          </w:p>
        </w:tc>
      </w:tr>
      <w:tr w:rsidR="009A371D" w:rsidRPr="009A371D" w:rsidTr="008A69F5">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Sweden</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23.2</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16.0</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+7.2</w:t>
            </w:r>
          </w:p>
        </w:tc>
      </w:tr>
      <w:tr w:rsidR="009A371D" w:rsidRPr="009A371D" w:rsidTr="009A371D">
        <w:trPr>
          <w:trHeight w:val="374"/>
          <w:jc w:val="center"/>
        </w:trPr>
        <w:tc>
          <w:tcPr>
            <w:tcW w:w="1980" w:type="dxa"/>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United Kingdom</w:t>
            </w:r>
          </w:p>
        </w:tc>
        <w:tc>
          <w:tcPr>
            <w:tcW w:w="1620"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36.2</w:t>
            </w:r>
          </w:p>
        </w:tc>
        <w:tc>
          <w:tcPr>
            <w:tcW w:w="1494"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32.1</w:t>
            </w:r>
          </w:p>
        </w:tc>
        <w:tc>
          <w:tcPr>
            <w:tcW w:w="1746" w:type="dxa"/>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+4.1</w:t>
            </w:r>
          </w:p>
        </w:tc>
      </w:tr>
      <w:tr w:rsidR="009A371D" w:rsidRPr="009A371D" w:rsidTr="009A371D">
        <w:trPr>
          <w:trHeight w:val="374"/>
          <w:jc w:val="center"/>
        </w:trPr>
        <w:tc>
          <w:tcPr>
            <w:tcW w:w="1980" w:type="dxa"/>
            <w:tcBorders>
              <w:bottom w:val="single" w:sz="4" w:space="0" w:color="auto"/>
            </w:tcBorders>
            <w:vAlign w:val="center"/>
          </w:tcPr>
          <w:p w:rsidR="009A371D" w:rsidRPr="009A371D" w:rsidRDefault="009A371D" w:rsidP="008A69F5">
            <w:pPr>
              <w:rPr>
                <w:rFonts w:ascii="Times New Roman" w:hAnsi="Times New Roman" w:cs="Times New Roman"/>
                <w:sz w:val="24"/>
                <w:szCs w:val="24"/>
              </w:rPr>
            </w:pPr>
            <w:r w:rsidRPr="009A371D">
              <w:rPr>
                <w:rFonts w:ascii="Times New Roman" w:hAnsi="Times New Roman" w:cs="Times New Roman"/>
                <w:sz w:val="24"/>
                <w:szCs w:val="24"/>
              </w:rPr>
              <w:t>United States</w:t>
            </w:r>
          </w:p>
        </w:tc>
        <w:tc>
          <w:tcPr>
            <w:tcW w:w="1620" w:type="dxa"/>
            <w:tcBorders>
              <w:bottom w:val="single" w:sz="4" w:space="0" w:color="auto"/>
            </w:tcBorders>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27.3</w:t>
            </w:r>
          </w:p>
        </w:tc>
        <w:tc>
          <w:tcPr>
            <w:tcW w:w="1494" w:type="dxa"/>
            <w:tcBorders>
              <w:bottom w:val="single" w:sz="4" w:space="0" w:color="auto"/>
            </w:tcBorders>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24.9</w:t>
            </w:r>
          </w:p>
        </w:tc>
        <w:tc>
          <w:tcPr>
            <w:tcW w:w="1746" w:type="dxa"/>
            <w:tcBorders>
              <w:bottom w:val="single" w:sz="4" w:space="0" w:color="auto"/>
            </w:tcBorders>
            <w:vAlign w:val="center"/>
          </w:tcPr>
          <w:p w:rsidR="009A371D" w:rsidRPr="009A371D" w:rsidRDefault="009A371D" w:rsidP="009A371D">
            <w:pPr>
              <w:jc w:val="right"/>
              <w:rPr>
                <w:rFonts w:ascii="Times New Roman" w:hAnsi="Times New Roman" w:cs="Times New Roman"/>
                <w:sz w:val="24"/>
                <w:szCs w:val="24"/>
              </w:rPr>
            </w:pPr>
            <w:r w:rsidRPr="009A371D">
              <w:rPr>
                <w:rFonts w:ascii="Times New Roman" w:hAnsi="Times New Roman" w:cs="Times New Roman"/>
                <w:sz w:val="24"/>
                <w:szCs w:val="24"/>
              </w:rPr>
              <w:t>+2.4</w:t>
            </w:r>
          </w:p>
        </w:tc>
      </w:tr>
    </w:tbl>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C82D21" w:rsidRDefault="00C82D21" w:rsidP="002A16E0">
      <w:pPr>
        <w:jc w:val="center"/>
        <w:rPr>
          <w:rFonts w:ascii="Times New Roman" w:hAnsi="Times New Roman" w:cs="Times New Roman"/>
          <w:sz w:val="24"/>
          <w:szCs w:val="24"/>
          <w:u w:val="single"/>
        </w:rPr>
      </w:pPr>
    </w:p>
    <w:p w:rsidR="009A371D" w:rsidRPr="00462DEB" w:rsidRDefault="009A371D" w:rsidP="00462DEB">
      <w:pPr>
        <w:pStyle w:val="Heading1"/>
        <w:jc w:val="both"/>
      </w:pPr>
      <w:r w:rsidRPr="00462DEB">
        <w:lastRenderedPageBreak/>
        <w:t>The Impacts of Declining Teen Employment and Rising Overall Unemployment on the Employment Rates of Young Adults (20-24) in OECD Nations in 2012</w:t>
      </w:r>
    </w:p>
    <w:p w:rsidR="00E058F2" w:rsidRDefault="0052382B" w:rsidP="00462DEB">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strong links (path dependency) between employment in the teen years and one’s employment experiences as a young adult, one would expect that the employment rates of 20-24 year olds in the U.S. and most other OECD countries would have deteriorated over the past 12 years. Unfortunately, the evidence clearly indicates that this is the case. In the U.S., the employment rate of 20-24 year olds plummeted from 72% in 2000 to 61% in 2012, a decline of nearly 11 percentage points. </w:t>
      </w:r>
      <w:r w:rsidR="008B5AB5">
        <w:rPr>
          <w:rFonts w:ascii="Times New Roman" w:hAnsi="Times New Roman" w:cs="Times New Roman"/>
          <w:sz w:val="24"/>
          <w:szCs w:val="24"/>
        </w:rPr>
        <w:t>(see Table</w:t>
      </w:r>
      <w:r w:rsidR="00087165">
        <w:rPr>
          <w:rFonts w:ascii="Times New Roman" w:hAnsi="Times New Roman" w:cs="Times New Roman"/>
          <w:sz w:val="24"/>
          <w:szCs w:val="24"/>
        </w:rPr>
        <w:t xml:space="preserve">s 6 and </w:t>
      </w:r>
      <w:r w:rsidR="008B5AB5">
        <w:rPr>
          <w:rFonts w:ascii="Times New Roman" w:hAnsi="Times New Roman" w:cs="Times New Roman"/>
          <w:sz w:val="24"/>
          <w:szCs w:val="24"/>
        </w:rPr>
        <w:t>7). The U.S. ranking among 34 OECD countries fell from 5</w:t>
      </w:r>
      <w:r w:rsidR="008B5AB5" w:rsidRPr="008B5AB5">
        <w:rPr>
          <w:rFonts w:ascii="Times New Roman" w:hAnsi="Times New Roman" w:cs="Times New Roman"/>
          <w:sz w:val="24"/>
          <w:szCs w:val="24"/>
          <w:vertAlign w:val="superscript"/>
        </w:rPr>
        <w:t>th</w:t>
      </w:r>
      <w:r w:rsidR="008B5AB5">
        <w:rPr>
          <w:rFonts w:ascii="Times New Roman" w:hAnsi="Times New Roman" w:cs="Times New Roman"/>
          <w:sz w:val="24"/>
          <w:szCs w:val="24"/>
        </w:rPr>
        <w:t xml:space="preserve"> highest in 2000 to only 13</w:t>
      </w:r>
      <w:r w:rsidR="008B5AB5" w:rsidRPr="008B5AB5">
        <w:rPr>
          <w:rFonts w:ascii="Times New Roman" w:hAnsi="Times New Roman" w:cs="Times New Roman"/>
          <w:sz w:val="24"/>
          <w:szCs w:val="24"/>
          <w:vertAlign w:val="superscript"/>
        </w:rPr>
        <w:t>th</w:t>
      </w:r>
      <w:r w:rsidR="008B5AB5">
        <w:rPr>
          <w:rFonts w:ascii="Times New Roman" w:hAnsi="Times New Roman" w:cs="Times New Roman"/>
          <w:sz w:val="24"/>
          <w:szCs w:val="24"/>
        </w:rPr>
        <w:t xml:space="preserve"> highest by 2012</w:t>
      </w:r>
      <w:r w:rsidR="00336231">
        <w:rPr>
          <w:rFonts w:ascii="Times New Roman" w:hAnsi="Times New Roman" w:cs="Times New Roman"/>
          <w:sz w:val="24"/>
          <w:szCs w:val="24"/>
        </w:rPr>
        <w:t>, a mid-level performer</w:t>
      </w:r>
      <w:r w:rsidR="008B5AB5">
        <w:rPr>
          <w:rFonts w:ascii="Times New Roman" w:hAnsi="Times New Roman" w:cs="Times New Roman"/>
          <w:sz w:val="24"/>
          <w:szCs w:val="24"/>
        </w:rPr>
        <w:t>.</w:t>
      </w:r>
      <w:r w:rsidR="00336231">
        <w:rPr>
          <w:rFonts w:ascii="Times New Roman" w:hAnsi="Times New Roman" w:cs="Times New Roman"/>
          <w:sz w:val="24"/>
          <w:szCs w:val="24"/>
        </w:rPr>
        <w:t xml:space="preserve"> (Table </w:t>
      </w:r>
      <w:r w:rsidR="00E058F2">
        <w:rPr>
          <w:rFonts w:ascii="Times New Roman" w:hAnsi="Times New Roman" w:cs="Times New Roman"/>
          <w:sz w:val="24"/>
          <w:szCs w:val="24"/>
        </w:rPr>
        <w:t>6</w:t>
      </w:r>
      <w:r w:rsidR="00336231">
        <w:rPr>
          <w:rFonts w:ascii="Times New Roman" w:hAnsi="Times New Roman" w:cs="Times New Roman"/>
          <w:sz w:val="24"/>
          <w:szCs w:val="24"/>
        </w:rPr>
        <w:t>).</w:t>
      </w:r>
      <w:r w:rsidR="008B5AB5">
        <w:rPr>
          <w:rFonts w:ascii="Times New Roman" w:hAnsi="Times New Roman" w:cs="Times New Roman"/>
          <w:sz w:val="24"/>
          <w:szCs w:val="24"/>
        </w:rPr>
        <w:t xml:space="preserve"> </w:t>
      </w:r>
    </w:p>
    <w:p w:rsidR="00E058F2" w:rsidRPr="001862B2" w:rsidRDefault="00E058F2" w:rsidP="00E058F2">
      <w:pPr>
        <w:jc w:val="center"/>
        <w:rPr>
          <w:rFonts w:ascii="Times New Roman" w:hAnsi="Times New Roman" w:cs="Times New Roman"/>
          <w:sz w:val="24"/>
          <w:szCs w:val="24"/>
          <w:u w:val="single"/>
        </w:rPr>
      </w:pPr>
      <w:r w:rsidRPr="001862B2">
        <w:rPr>
          <w:rFonts w:ascii="Times New Roman" w:hAnsi="Times New Roman" w:cs="Times New Roman"/>
          <w:sz w:val="24"/>
          <w:szCs w:val="24"/>
          <w:u w:val="single"/>
        </w:rPr>
        <w:t>Table</w:t>
      </w:r>
      <w:r>
        <w:rPr>
          <w:rFonts w:ascii="Times New Roman" w:hAnsi="Times New Roman" w:cs="Times New Roman"/>
          <w:sz w:val="24"/>
          <w:szCs w:val="24"/>
          <w:u w:val="single"/>
        </w:rPr>
        <w:t xml:space="preserve"> 6</w:t>
      </w:r>
      <w:r w:rsidRPr="001862B2">
        <w:rPr>
          <w:rFonts w:ascii="Times New Roman" w:hAnsi="Times New Roman" w:cs="Times New Roman"/>
          <w:sz w:val="24"/>
          <w:szCs w:val="24"/>
          <w:u w:val="single"/>
        </w:rPr>
        <w:t>:</w:t>
      </w:r>
    </w:p>
    <w:p w:rsidR="00E058F2" w:rsidRPr="001862B2" w:rsidRDefault="00E058F2" w:rsidP="00E058F2">
      <w:pPr>
        <w:jc w:val="center"/>
        <w:rPr>
          <w:rFonts w:ascii="Times New Roman" w:hAnsi="Times New Roman" w:cs="Times New Roman"/>
          <w:sz w:val="24"/>
          <w:szCs w:val="24"/>
        </w:rPr>
      </w:pPr>
      <w:r w:rsidRPr="001862B2">
        <w:rPr>
          <w:rFonts w:ascii="Times New Roman" w:hAnsi="Times New Roman" w:cs="Times New Roman"/>
          <w:sz w:val="24"/>
          <w:szCs w:val="24"/>
          <w:u w:val="single"/>
        </w:rPr>
        <w:t>Trends in the Employment Rates of 20-24 Year Olds in the U.S., 2000-2012, and Their Rank among 34 OECD Countries, All and by Gender (in %)</w:t>
      </w:r>
      <w:r w:rsidRPr="001862B2">
        <w:rPr>
          <w:rFonts w:ascii="Times New Roman" w:hAnsi="Times New Roman" w:cs="Times New Roman"/>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E058F2" w:rsidRPr="001862B2" w:rsidTr="001726D7">
        <w:tc>
          <w:tcPr>
            <w:tcW w:w="1596" w:type="dxa"/>
            <w:tcBorders>
              <w:top w:val="single" w:sz="4" w:space="0" w:color="auto"/>
              <w:bottom w:val="single" w:sz="4" w:space="0" w:color="auto"/>
            </w:tcBorders>
          </w:tcPr>
          <w:p w:rsidR="00E058F2" w:rsidRPr="001862B2" w:rsidRDefault="00E058F2" w:rsidP="001726D7">
            <w:pPr>
              <w:jc w:val="center"/>
              <w:rPr>
                <w:rFonts w:ascii="Times New Roman" w:hAnsi="Times New Roman" w:cs="Times New Roman"/>
                <w:sz w:val="24"/>
                <w:szCs w:val="24"/>
              </w:rPr>
            </w:pPr>
          </w:p>
        </w:tc>
        <w:tc>
          <w:tcPr>
            <w:tcW w:w="3192" w:type="dxa"/>
            <w:gridSpan w:val="2"/>
            <w:tcBorders>
              <w:top w:val="single" w:sz="4" w:space="0" w:color="auto"/>
              <w:bottom w:val="single" w:sz="4" w:space="0" w:color="auto"/>
              <w:right w:val="single" w:sz="4" w:space="0" w:color="auto"/>
            </w:tcBorders>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(A)</w:t>
            </w:r>
          </w:p>
          <w:p w:rsidR="00E058F2" w:rsidRPr="001862B2" w:rsidRDefault="00E058F2" w:rsidP="001726D7">
            <w:pPr>
              <w:jc w:val="center"/>
              <w:rPr>
                <w:rFonts w:ascii="Times New Roman" w:hAnsi="Times New Roman" w:cs="Times New Roman"/>
                <w:sz w:val="24"/>
                <w:szCs w:val="24"/>
                <w:u w:val="single"/>
              </w:rPr>
            </w:pPr>
            <w:r w:rsidRPr="001862B2">
              <w:rPr>
                <w:rFonts w:ascii="Times New Roman" w:hAnsi="Times New Roman" w:cs="Times New Roman"/>
                <w:sz w:val="24"/>
                <w:szCs w:val="24"/>
                <w:u w:val="single"/>
              </w:rPr>
              <w:t>2000</w:t>
            </w:r>
          </w:p>
        </w:tc>
        <w:tc>
          <w:tcPr>
            <w:tcW w:w="3192" w:type="dxa"/>
            <w:gridSpan w:val="2"/>
            <w:tcBorders>
              <w:top w:val="single" w:sz="4" w:space="0" w:color="auto"/>
              <w:left w:val="single" w:sz="4" w:space="0" w:color="auto"/>
              <w:bottom w:val="single" w:sz="4" w:space="0" w:color="auto"/>
              <w:right w:val="single" w:sz="4" w:space="0" w:color="auto"/>
            </w:tcBorders>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(B)</w:t>
            </w:r>
          </w:p>
          <w:p w:rsidR="00E058F2" w:rsidRPr="001862B2" w:rsidRDefault="00E058F2" w:rsidP="001726D7">
            <w:pPr>
              <w:jc w:val="center"/>
              <w:rPr>
                <w:rFonts w:ascii="Times New Roman" w:hAnsi="Times New Roman" w:cs="Times New Roman"/>
                <w:sz w:val="24"/>
                <w:szCs w:val="24"/>
                <w:u w:val="single"/>
              </w:rPr>
            </w:pPr>
            <w:r w:rsidRPr="001862B2">
              <w:rPr>
                <w:rFonts w:ascii="Times New Roman" w:hAnsi="Times New Roman" w:cs="Times New Roman"/>
                <w:sz w:val="24"/>
                <w:szCs w:val="24"/>
                <w:u w:val="single"/>
              </w:rPr>
              <w:t>2012</w:t>
            </w:r>
          </w:p>
        </w:tc>
        <w:tc>
          <w:tcPr>
            <w:tcW w:w="1596" w:type="dxa"/>
            <w:tcBorders>
              <w:top w:val="single" w:sz="4" w:space="0" w:color="auto"/>
              <w:left w:val="single" w:sz="4" w:space="0" w:color="auto"/>
              <w:bottom w:val="single" w:sz="4" w:space="0" w:color="auto"/>
            </w:tcBorders>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(C)</w:t>
            </w:r>
          </w:p>
        </w:tc>
      </w:tr>
      <w:tr w:rsidR="00E058F2" w:rsidRPr="001862B2" w:rsidTr="001726D7">
        <w:tc>
          <w:tcPr>
            <w:tcW w:w="1596" w:type="dxa"/>
            <w:tcBorders>
              <w:top w:val="single" w:sz="4" w:space="0" w:color="auto"/>
              <w:bottom w:val="single" w:sz="4" w:space="0" w:color="auto"/>
            </w:tcBorders>
            <w:vAlign w:val="bottom"/>
          </w:tcPr>
          <w:p w:rsidR="00E058F2" w:rsidRPr="001862B2" w:rsidRDefault="00E058F2" w:rsidP="001726D7">
            <w:pPr>
              <w:rPr>
                <w:rFonts w:ascii="Times New Roman" w:hAnsi="Times New Roman" w:cs="Times New Roman"/>
                <w:sz w:val="24"/>
                <w:szCs w:val="24"/>
              </w:rPr>
            </w:pPr>
            <w:r w:rsidRPr="001862B2">
              <w:rPr>
                <w:rFonts w:ascii="Times New Roman" w:hAnsi="Times New Roman" w:cs="Times New Roman"/>
                <w:sz w:val="24"/>
                <w:szCs w:val="24"/>
              </w:rPr>
              <w:t>Group</w:t>
            </w:r>
          </w:p>
        </w:tc>
        <w:tc>
          <w:tcPr>
            <w:tcW w:w="1596" w:type="dxa"/>
            <w:tcBorders>
              <w:top w:val="single" w:sz="4" w:space="0" w:color="auto"/>
              <w:bottom w:val="single" w:sz="4" w:space="0" w:color="auto"/>
            </w:tcBorders>
            <w:vAlign w:val="bottom"/>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(1)</w:t>
            </w:r>
          </w:p>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Rate</w:t>
            </w:r>
          </w:p>
        </w:tc>
        <w:tc>
          <w:tcPr>
            <w:tcW w:w="1596" w:type="dxa"/>
            <w:tcBorders>
              <w:top w:val="single" w:sz="4" w:space="0" w:color="auto"/>
              <w:bottom w:val="single" w:sz="4" w:space="0" w:color="auto"/>
              <w:right w:val="single" w:sz="4" w:space="0" w:color="auto"/>
            </w:tcBorders>
            <w:vAlign w:val="bottom"/>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(2)</w:t>
            </w:r>
          </w:p>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Rank</w:t>
            </w:r>
          </w:p>
        </w:tc>
        <w:tc>
          <w:tcPr>
            <w:tcW w:w="1596" w:type="dxa"/>
            <w:tcBorders>
              <w:top w:val="single" w:sz="4" w:space="0" w:color="auto"/>
              <w:left w:val="single" w:sz="4" w:space="0" w:color="auto"/>
              <w:bottom w:val="single" w:sz="4" w:space="0" w:color="auto"/>
            </w:tcBorders>
            <w:vAlign w:val="bottom"/>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(1)</w:t>
            </w:r>
          </w:p>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Rate</w:t>
            </w:r>
          </w:p>
        </w:tc>
        <w:tc>
          <w:tcPr>
            <w:tcW w:w="1596" w:type="dxa"/>
            <w:tcBorders>
              <w:top w:val="single" w:sz="4" w:space="0" w:color="auto"/>
              <w:bottom w:val="single" w:sz="4" w:space="0" w:color="auto"/>
              <w:right w:val="single" w:sz="4" w:space="0" w:color="auto"/>
            </w:tcBorders>
            <w:vAlign w:val="bottom"/>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(2)</w:t>
            </w:r>
          </w:p>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Rank</w:t>
            </w:r>
          </w:p>
        </w:tc>
        <w:tc>
          <w:tcPr>
            <w:tcW w:w="1596" w:type="dxa"/>
            <w:tcBorders>
              <w:top w:val="single" w:sz="4" w:space="0" w:color="auto"/>
              <w:left w:val="single" w:sz="4" w:space="0" w:color="auto"/>
              <w:bottom w:val="single" w:sz="4" w:space="0" w:color="auto"/>
            </w:tcBorders>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Percentage Point Change, 2000-2012</w:t>
            </w:r>
          </w:p>
        </w:tc>
      </w:tr>
      <w:tr w:rsidR="00E058F2" w:rsidRPr="001862B2" w:rsidTr="001726D7">
        <w:trPr>
          <w:trHeight w:val="413"/>
        </w:trPr>
        <w:tc>
          <w:tcPr>
            <w:tcW w:w="1596" w:type="dxa"/>
            <w:tcBorders>
              <w:top w:val="single" w:sz="4" w:space="0" w:color="auto"/>
            </w:tcBorders>
            <w:vAlign w:val="center"/>
          </w:tcPr>
          <w:p w:rsidR="00E058F2" w:rsidRPr="001862B2" w:rsidRDefault="00E058F2" w:rsidP="001726D7">
            <w:pPr>
              <w:rPr>
                <w:rFonts w:ascii="Times New Roman" w:hAnsi="Times New Roman" w:cs="Times New Roman"/>
                <w:sz w:val="24"/>
                <w:szCs w:val="24"/>
              </w:rPr>
            </w:pPr>
            <w:r w:rsidRPr="001862B2">
              <w:rPr>
                <w:rFonts w:ascii="Times New Roman" w:hAnsi="Times New Roman" w:cs="Times New Roman"/>
                <w:sz w:val="24"/>
                <w:szCs w:val="24"/>
              </w:rPr>
              <w:t>All</w:t>
            </w:r>
          </w:p>
        </w:tc>
        <w:tc>
          <w:tcPr>
            <w:tcW w:w="1596" w:type="dxa"/>
            <w:tcBorders>
              <w:top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72.2</w:t>
            </w:r>
          </w:p>
        </w:tc>
        <w:tc>
          <w:tcPr>
            <w:tcW w:w="1596" w:type="dxa"/>
            <w:tcBorders>
              <w:top w:val="single" w:sz="4" w:space="0" w:color="auto"/>
              <w:righ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5th</w:t>
            </w:r>
          </w:p>
        </w:tc>
        <w:tc>
          <w:tcPr>
            <w:tcW w:w="1596" w:type="dxa"/>
            <w:tcBorders>
              <w:top w:val="single" w:sz="4" w:space="0" w:color="auto"/>
              <w:lef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61.5</w:t>
            </w:r>
          </w:p>
        </w:tc>
        <w:tc>
          <w:tcPr>
            <w:tcW w:w="1596" w:type="dxa"/>
            <w:tcBorders>
              <w:top w:val="single" w:sz="4" w:space="0" w:color="auto"/>
              <w:righ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13</w:t>
            </w:r>
            <w:r w:rsidRPr="001862B2">
              <w:rPr>
                <w:rFonts w:ascii="Times New Roman" w:hAnsi="Times New Roman" w:cs="Times New Roman"/>
                <w:sz w:val="24"/>
                <w:szCs w:val="24"/>
                <w:vertAlign w:val="superscript"/>
              </w:rPr>
              <w:t>th</w:t>
            </w:r>
          </w:p>
        </w:tc>
        <w:tc>
          <w:tcPr>
            <w:tcW w:w="1596" w:type="dxa"/>
            <w:tcBorders>
              <w:top w:val="single" w:sz="4" w:space="0" w:color="auto"/>
              <w:lef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-10.7</w:t>
            </w:r>
          </w:p>
        </w:tc>
      </w:tr>
      <w:tr w:rsidR="00E058F2" w:rsidRPr="001862B2" w:rsidTr="001726D7">
        <w:trPr>
          <w:trHeight w:val="440"/>
        </w:trPr>
        <w:tc>
          <w:tcPr>
            <w:tcW w:w="1596" w:type="dxa"/>
            <w:vAlign w:val="center"/>
          </w:tcPr>
          <w:p w:rsidR="00E058F2" w:rsidRPr="001862B2" w:rsidRDefault="00E058F2" w:rsidP="001726D7">
            <w:pPr>
              <w:rPr>
                <w:rFonts w:ascii="Times New Roman" w:hAnsi="Times New Roman" w:cs="Times New Roman"/>
                <w:sz w:val="24"/>
                <w:szCs w:val="24"/>
              </w:rPr>
            </w:pPr>
            <w:r w:rsidRPr="001862B2">
              <w:rPr>
                <w:rFonts w:ascii="Times New Roman" w:hAnsi="Times New Roman" w:cs="Times New Roman"/>
                <w:sz w:val="24"/>
                <w:szCs w:val="24"/>
              </w:rPr>
              <w:t>Men</w:t>
            </w:r>
          </w:p>
        </w:tc>
        <w:tc>
          <w:tcPr>
            <w:tcW w:w="1596" w:type="dxa"/>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76.6</w:t>
            </w:r>
          </w:p>
        </w:tc>
        <w:tc>
          <w:tcPr>
            <w:tcW w:w="1596" w:type="dxa"/>
            <w:tcBorders>
              <w:righ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7</w:t>
            </w:r>
            <w:r w:rsidRPr="001862B2">
              <w:rPr>
                <w:rFonts w:ascii="Times New Roman" w:hAnsi="Times New Roman" w:cs="Times New Roman"/>
                <w:sz w:val="24"/>
                <w:szCs w:val="24"/>
                <w:vertAlign w:val="superscript"/>
              </w:rPr>
              <w:t>th</w:t>
            </w:r>
          </w:p>
        </w:tc>
        <w:tc>
          <w:tcPr>
            <w:tcW w:w="1596" w:type="dxa"/>
            <w:tcBorders>
              <w:lef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63.8</w:t>
            </w:r>
          </w:p>
        </w:tc>
        <w:tc>
          <w:tcPr>
            <w:tcW w:w="1596" w:type="dxa"/>
            <w:tcBorders>
              <w:righ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13</w:t>
            </w:r>
            <w:r w:rsidRPr="001862B2">
              <w:rPr>
                <w:rFonts w:ascii="Times New Roman" w:hAnsi="Times New Roman" w:cs="Times New Roman"/>
                <w:sz w:val="24"/>
                <w:szCs w:val="24"/>
                <w:vertAlign w:val="superscript"/>
              </w:rPr>
              <w:t>th</w:t>
            </w:r>
          </w:p>
        </w:tc>
        <w:tc>
          <w:tcPr>
            <w:tcW w:w="1596" w:type="dxa"/>
            <w:tcBorders>
              <w:lef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-12.8</w:t>
            </w:r>
          </w:p>
        </w:tc>
      </w:tr>
      <w:tr w:rsidR="00E058F2" w:rsidRPr="001862B2" w:rsidTr="001726D7">
        <w:trPr>
          <w:trHeight w:val="440"/>
        </w:trPr>
        <w:tc>
          <w:tcPr>
            <w:tcW w:w="1596" w:type="dxa"/>
            <w:tcBorders>
              <w:bottom w:val="single" w:sz="4" w:space="0" w:color="auto"/>
            </w:tcBorders>
            <w:vAlign w:val="center"/>
          </w:tcPr>
          <w:p w:rsidR="00E058F2" w:rsidRPr="001862B2" w:rsidRDefault="00E058F2" w:rsidP="001726D7">
            <w:pPr>
              <w:rPr>
                <w:rFonts w:ascii="Times New Roman" w:hAnsi="Times New Roman" w:cs="Times New Roman"/>
                <w:sz w:val="24"/>
                <w:szCs w:val="24"/>
              </w:rPr>
            </w:pPr>
            <w:r w:rsidRPr="001862B2">
              <w:rPr>
                <w:rFonts w:ascii="Times New Roman" w:hAnsi="Times New Roman" w:cs="Times New Roman"/>
                <w:sz w:val="24"/>
                <w:szCs w:val="24"/>
              </w:rPr>
              <w:t>Women</w:t>
            </w:r>
          </w:p>
        </w:tc>
        <w:tc>
          <w:tcPr>
            <w:tcW w:w="1596" w:type="dxa"/>
            <w:tcBorders>
              <w:bottom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67.9</w:t>
            </w:r>
          </w:p>
        </w:tc>
        <w:tc>
          <w:tcPr>
            <w:tcW w:w="1596" w:type="dxa"/>
            <w:tcBorders>
              <w:bottom w:val="single" w:sz="4" w:space="0" w:color="auto"/>
              <w:righ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6th</w:t>
            </w:r>
          </w:p>
        </w:tc>
        <w:tc>
          <w:tcPr>
            <w:tcW w:w="1596" w:type="dxa"/>
            <w:tcBorders>
              <w:left w:val="single" w:sz="4" w:space="0" w:color="auto"/>
              <w:bottom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59.2</w:t>
            </w:r>
          </w:p>
        </w:tc>
        <w:tc>
          <w:tcPr>
            <w:tcW w:w="1596" w:type="dxa"/>
            <w:tcBorders>
              <w:bottom w:val="single" w:sz="4" w:space="0" w:color="auto"/>
              <w:right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19th</w:t>
            </w:r>
          </w:p>
        </w:tc>
        <w:tc>
          <w:tcPr>
            <w:tcW w:w="1596" w:type="dxa"/>
            <w:tcBorders>
              <w:left w:val="single" w:sz="4" w:space="0" w:color="auto"/>
              <w:bottom w:val="single" w:sz="4" w:space="0" w:color="auto"/>
            </w:tcBorders>
            <w:vAlign w:val="center"/>
          </w:tcPr>
          <w:p w:rsidR="00E058F2" w:rsidRPr="001862B2" w:rsidRDefault="00E058F2" w:rsidP="001726D7">
            <w:pPr>
              <w:jc w:val="center"/>
              <w:rPr>
                <w:rFonts w:ascii="Times New Roman" w:hAnsi="Times New Roman" w:cs="Times New Roman"/>
                <w:sz w:val="24"/>
                <w:szCs w:val="24"/>
              </w:rPr>
            </w:pPr>
            <w:r w:rsidRPr="001862B2">
              <w:rPr>
                <w:rFonts w:ascii="Times New Roman" w:hAnsi="Times New Roman" w:cs="Times New Roman"/>
                <w:sz w:val="24"/>
                <w:szCs w:val="24"/>
              </w:rPr>
              <w:t>-8.7</w:t>
            </w:r>
          </w:p>
        </w:tc>
      </w:tr>
    </w:tbl>
    <w:p w:rsidR="00E058F2" w:rsidRPr="001862B2" w:rsidRDefault="00E058F2" w:rsidP="00E058F2">
      <w:pPr>
        <w:rPr>
          <w:rFonts w:ascii="Times New Roman" w:hAnsi="Times New Roman" w:cs="Times New Roman"/>
          <w:sz w:val="24"/>
          <w:szCs w:val="24"/>
        </w:rPr>
      </w:pPr>
      <w:r w:rsidRPr="001862B2">
        <w:rPr>
          <w:rFonts w:ascii="Times New Roman" w:hAnsi="Times New Roman" w:cs="Times New Roman"/>
          <w:sz w:val="24"/>
          <w:szCs w:val="24"/>
          <w:u w:val="single"/>
        </w:rPr>
        <w:t>Source:</w:t>
      </w:r>
      <w:r w:rsidRPr="001862B2">
        <w:rPr>
          <w:rFonts w:ascii="Times New Roman" w:hAnsi="Times New Roman" w:cs="Times New Roman"/>
          <w:sz w:val="24"/>
          <w:szCs w:val="24"/>
        </w:rPr>
        <w:t xml:space="preserve">  OECD, Labor Force Statistics, stats.oecd.org, tabulations by authors</w:t>
      </w:r>
    </w:p>
    <w:p w:rsidR="00F475CA" w:rsidRDefault="00F475CA"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Default="00C82D21" w:rsidP="00462DEB">
      <w:pPr>
        <w:spacing w:before="120" w:line="360" w:lineRule="auto"/>
        <w:ind w:firstLine="720"/>
        <w:jc w:val="both"/>
        <w:rPr>
          <w:rFonts w:ascii="Times New Roman" w:hAnsi="Times New Roman" w:cs="Times New Roman"/>
          <w:sz w:val="24"/>
          <w:szCs w:val="24"/>
        </w:rPr>
      </w:pPr>
    </w:p>
    <w:p w:rsidR="00C82D21" w:rsidRPr="001862B2" w:rsidRDefault="00C82D21" w:rsidP="00C82D21">
      <w:pPr>
        <w:jc w:val="center"/>
        <w:rPr>
          <w:rFonts w:cs="Times New Roman"/>
          <w:szCs w:val="24"/>
          <w:u w:val="single"/>
        </w:rPr>
      </w:pPr>
      <w:r w:rsidRPr="001862B2">
        <w:rPr>
          <w:rFonts w:ascii="Times New Roman" w:hAnsi="Times New Roman" w:cs="Times New Roman"/>
          <w:sz w:val="24"/>
          <w:szCs w:val="24"/>
          <w:u w:val="single"/>
        </w:rPr>
        <w:lastRenderedPageBreak/>
        <w:t>Table</w:t>
      </w:r>
      <w:r>
        <w:rPr>
          <w:rFonts w:ascii="Times New Roman" w:hAnsi="Times New Roman" w:cs="Times New Roman"/>
          <w:sz w:val="24"/>
          <w:szCs w:val="24"/>
          <w:u w:val="single"/>
        </w:rPr>
        <w:t xml:space="preserve"> 7</w:t>
      </w:r>
      <w:r w:rsidRPr="001862B2">
        <w:rPr>
          <w:rFonts w:ascii="Times New Roman" w:hAnsi="Times New Roman" w:cs="Times New Roman"/>
          <w:sz w:val="24"/>
          <w:szCs w:val="24"/>
          <w:u w:val="single"/>
        </w:rPr>
        <w:t>:</w:t>
      </w:r>
    </w:p>
    <w:p w:rsidR="00C82D21" w:rsidRPr="001862B2" w:rsidRDefault="00C82D21" w:rsidP="00C82D21">
      <w:pPr>
        <w:jc w:val="center"/>
        <w:rPr>
          <w:rFonts w:ascii="Times New Roman" w:hAnsi="Times New Roman" w:cs="Times New Roman"/>
          <w:sz w:val="24"/>
          <w:szCs w:val="24"/>
          <w:u w:val="single"/>
        </w:rPr>
      </w:pPr>
      <w:r w:rsidRPr="001862B2">
        <w:rPr>
          <w:rFonts w:ascii="Times New Roman" w:hAnsi="Times New Roman" w:cs="Times New Roman"/>
          <w:sz w:val="24"/>
          <w:szCs w:val="24"/>
          <w:u w:val="single"/>
        </w:rPr>
        <w:t>Trends in the Employment/Population Ratios of 20-24 Year Olds in 33 OECD Countries Between 2000 and 2012 (in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67"/>
        <w:gridCol w:w="1467"/>
        <w:gridCol w:w="1746"/>
      </w:tblGrid>
      <w:tr w:rsidR="00C82D21" w:rsidRPr="001862B2" w:rsidTr="001726D7">
        <w:trPr>
          <w:jc w:val="center"/>
        </w:trPr>
        <w:tc>
          <w:tcPr>
            <w:tcW w:w="2160" w:type="dxa"/>
            <w:tcBorders>
              <w:top w:val="single" w:sz="4" w:space="0" w:color="auto"/>
              <w:bottom w:val="single" w:sz="4" w:space="0" w:color="auto"/>
            </w:tcBorders>
          </w:tcPr>
          <w:p w:rsidR="00C82D21" w:rsidRPr="001862B2" w:rsidRDefault="00C82D21" w:rsidP="001726D7">
            <w:pPr>
              <w:rPr>
                <w:rFonts w:ascii="Times New Roman" w:hAnsi="Times New Roman" w:cs="Times New Roman"/>
                <w:sz w:val="24"/>
                <w:szCs w:val="24"/>
              </w:rPr>
            </w:pPr>
          </w:p>
          <w:p w:rsidR="00C82D21" w:rsidRPr="001862B2" w:rsidRDefault="00C82D21" w:rsidP="001726D7">
            <w:pPr>
              <w:rPr>
                <w:rFonts w:ascii="Times New Roman" w:hAnsi="Times New Roman" w:cs="Times New Roman"/>
                <w:sz w:val="24"/>
                <w:szCs w:val="24"/>
              </w:rPr>
            </w:pPr>
          </w:p>
          <w:p w:rsidR="00C82D21" w:rsidRPr="001862B2" w:rsidRDefault="00C82D21" w:rsidP="001726D7">
            <w:pPr>
              <w:rPr>
                <w:rFonts w:ascii="Times New Roman" w:hAnsi="Times New Roman" w:cs="Times New Roman"/>
                <w:sz w:val="24"/>
                <w:szCs w:val="24"/>
              </w:rPr>
            </w:pPr>
          </w:p>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Country</w:t>
            </w:r>
          </w:p>
        </w:tc>
        <w:tc>
          <w:tcPr>
            <w:tcW w:w="1467" w:type="dxa"/>
            <w:tcBorders>
              <w:top w:val="single" w:sz="4" w:space="0" w:color="auto"/>
              <w:bottom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(A)</w:t>
            </w:r>
          </w:p>
          <w:p w:rsidR="00C82D21" w:rsidRPr="001862B2" w:rsidRDefault="00C82D21" w:rsidP="001726D7">
            <w:pPr>
              <w:jc w:val="center"/>
              <w:rPr>
                <w:rFonts w:ascii="Times New Roman" w:hAnsi="Times New Roman" w:cs="Times New Roman"/>
                <w:sz w:val="24"/>
                <w:szCs w:val="24"/>
              </w:rPr>
            </w:pPr>
          </w:p>
          <w:p w:rsidR="00C82D21" w:rsidRPr="001862B2" w:rsidRDefault="00C82D21" w:rsidP="001726D7">
            <w:pPr>
              <w:jc w:val="center"/>
              <w:rPr>
                <w:rFonts w:ascii="Times New Roman" w:hAnsi="Times New Roman" w:cs="Times New Roman"/>
                <w:sz w:val="24"/>
                <w:szCs w:val="24"/>
              </w:rPr>
            </w:pPr>
          </w:p>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2000</w:t>
            </w:r>
          </w:p>
        </w:tc>
        <w:tc>
          <w:tcPr>
            <w:tcW w:w="1467" w:type="dxa"/>
            <w:tcBorders>
              <w:top w:val="single" w:sz="4" w:space="0" w:color="auto"/>
              <w:bottom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(B)</w:t>
            </w:r>
          </w:p>
          <w:p w:rsidR="00C82D21" w:rsidRPr="001862B2" w:rsidRDefault="00C82D21" w:rsidP="001726D7">
            <w:pPr>
              <w:jc w:val="center"/>
              <w:rPr>
                <w:rFonts w:ascii="Times New Roman" w:hAnsi="Times New Roman" w:cs="Times New Roman"/>
                <w:sz w:val="24"/>
                <w:szCs w:val="24"/>
              </w:rPr>
            </w:pPr>
          </w:p>
          <w:p w:rsidR="00C82D21" w:rsidRPr="001862B2" w:rsidRDefault="00C82D21" w:rsidP="001726D7">
            <w:pPr>
              <w:jc w:val="center"/>
              <w:rPr>
                <w:rFonts w:ascii="Times New Roman" w:hAnsi="Times New Roman" w:cs="Times New Roman"/>
                <w:sz w:val="24"/>
                <w:szCs w:val="24"/>
              </w:rPr>
            </w:pPr>
          </w:p>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2012</w:t>
            </w:r>
          </w:p>
        </w:tc>
        <w:tc>
          <w:tcPr>
            <w:tcW w:w="1746" w:type="dxa"/>
            <w:tcBorders>
              <w:top w:val="single" w:sz="4" w:space="0" w:color="auto"/>
              <w:bottom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(C)</w:t>
            </w:r>
          </w:p>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Percentage</w:t>
            </w:r>
          </w:p>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Point Change,</w:t>
            </w:r>
          </w:p>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2000-2012</w:t>
            </w:r>
          </w:p>
        </w:tc>
      </w:tr>
      <w:tr w:rsidR="00C82D21" w:rsidRPr="001862B2" w:rsidTr="001726D7">
        <w:trPr>
          <w:trHeight w:val="317"/>
          <w:jc w:val="center"/>
        </w:trPr>
        <w:tc>
          <w:tcPr>
            <w:tcW w:w="2160" w:type="dxa"/>
            <w:tcBorders>
              <w:top w:val="single" w:sz="4" w:space="0" w:color="auto"/>
            </w:tcBorders>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Netherlands</w:t>
            </w:r>
          </w:p>
        </w:tc>
        <w:tc>
          <w:tcPr>
            <w:tcW w:w="1467" w:type="dxa"/>
            <w:tcBorders>
              <w:top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77.5</w:t>
            </w:r>
          </w:p>
        </w:tc>
        <w:tc>
          <w:tcPr>
            <w:tcW w:w="1467" w:type="dxa"/>
            <w:tcBorders>
              <w:top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72.8</w:t>
            </w:r>
          </w:p>
        </w:tc>
        <w:tc>
          <w:tcPr>
            <w:tcW w:w="1746" w:type="dxa"/>
            <w:tcBorders>
              <w:top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-4.7</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Australia</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74.8</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72.3</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-2.5</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Switzerland</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78.9</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71.8</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-7.1</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Iceland</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80.5</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71.7</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-8.8</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Austria</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68.6</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69.5</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w:t>
            </w:r>
            <w:r>
              <w:rPr>
                <w:rFonts w:ascii="Times New Roman" w:hAnsi="Times New Roman" w:cs="Times New Roman"/>
                <w:sz w:val="24"/>
                <w:szCs w:val="24"/>
              </w:rPr>
              <w:t>0</w:t>
            </w:r>
            <w:r w:rsidRPr="001862B2">
              <w:rPr>
                <w:rFonts w:ascii="Times New Roman" w:hAnsi="Times New Roman" w:cs="Times New Roman"/>
                <w:sz w:val="24"/>
                <w:szCs w:val="24"/>
              </w:rPr>
              <w:t>.5</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Canada</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69.4</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67.7</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-1.7</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Norway</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69.1</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67.5</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-2.0</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New Zealand</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65.3</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65.2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-0.1</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Germany</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65.3</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64.1</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-1.2</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Denmark</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73.9</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63.7</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-10.2</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Israel</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45.5</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63.1</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+17.6</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Japan</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66.5</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62.5</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-4.0</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U.S.</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72.1</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61.5</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-10.7</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Finland</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59.1</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61.2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+2.2</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United Kingdom</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68.5</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61.2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-7.3</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Sweden</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60.2</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58.0</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-2.2</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Mexico</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59.0</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56.2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-2.8</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Estonia</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56.1</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52.2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-3.9</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Chile</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44.2</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47.3</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+3.1</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France</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47.9</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47.1</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-0.8</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Ireland</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70.8</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46.5</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-24.3</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South Korea</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52.0</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44.5</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-7.5</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Belgium</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52.6</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42.9</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-9.7</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Turkey</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42.6</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42.9</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+.3</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Slovenia</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42.3</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Czech Republic</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60.7</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42.2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-18.5</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Poland</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41.7</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41.8</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Portugal</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59.1</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40.2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-18.9</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Slovak Republic</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50.2</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34.9</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-15.3</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Hungary</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52.5</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33.4</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-19.1</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 xml:space="preserve">Italy </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41.1</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32.2</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-8.9</w:t>
            </w:r>
          </w:p>
        </w:tc>
      </w:tr>
      <w:tr w:rsidR="00C82D21" w:rsidRPr="001862B2" w:rsidTr="001726D7">
        <w:trPr>
          <w:trHeight w:val="317"/>
          <w:jc w:val="center"/>
        </w:trPr>
        <w:tc>
          <w:tcPr>
            <w:tcW w:w="2160" w:type="dxa"/>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Spain</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47.9</w:t>
            </w:r>
          </w:p>
        </w:tc>
        <w:tc>
          <w:tcPr>
            <w:tcW w:w="1467"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31.0</w:t>
            </w:r>
          </w:p>
        </w:tc>
        <w:tc>
          <w:tcPr>
            <w:tcW w:w="1746" w:type="dxa"/>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-16.9</w:t>
            </w:r>
          </w:p>
        </w:tc>
      </w:tr>
      <w:tr w:rsidR="00C82D21" w:rsidRPr="001862B2" w:rsidTr="001726D7">
        <w:trPr>
          <w:trHeight w:val="317"/>
          <w:jc w:val="center"/>
        </w:trPr>
        <w:tc>
          <w:tcPr>
            <w:tcW w:w="2160" w:type="dxa"/>
            <w:tcBorders>
              <w:bottom w:val="single" w:sz="4" w:space="0" w:color="auto"/>
            </w:tcBorders>
          </w:tcPr>
          <w:p w:rsidR="00C82D21" w:rsidRPr="001862B2" w:rsidRDefault="00C82D21" w:rsidP="001726D7">
            <w:pPr>
              <w:rPr>
                <w:rFonts w:ascii="Times New Roman" w:hAnsi="Times New Roman" w:cs="Times New Roman"/>
                <w:sz w:val="24"/>
                <w:szCs w:val="24"/>
              </w:rPr>
            </w:pPr>
            <w:r w:rsidRPr="001862B2">
              <w:rPr>
                <w:rFonts w:ascii="Times New Roman" w:hAnsi="Times New Roman" w:cs="Times New Roman"/>
                <w:sz w:val="24"/>
                <w:szCs w:val="24"/>
              </w:rPr>
              <w:t>Greece</w:t>
            </w:r>
          </w:p>
        </w:tc>
        <w:tc>
          <w:tcPr>
            <w:tcW w:w="1467" w:type="dxa"/>
            <w:tcBorders>
              <w:bottom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44.9</w:t>
            </w:r>
          </w:p>
        </w:tc>
        <w:tc>
          <w:tcPr>
            <w:tcW w:w="1467" w:type="dxa"/>
            <w:tcBorders>
              <w:bottom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23.7</w:t>
            </w:r>
          </w:p>
        </w:tc>
        <w:tc>
          <w:tcPr>
            <w:tcW w:w="1746" w:type="dxa"/>
            <w:tcBorders>
              <w:bottom w:val="single" w:sz="4" w:space="0" w:color="auto"/>
            </w:tcBorders>
          </w:tcPr>
          <w:p w:rsidR="00C82D21" w:rsidRPr="001862B2" w:rsidRDefault="00C82D21" w:rsidP="001726D7">
            <w:pPr>
              <w:jc w:val="center"/>
              <w:rPr>
                <w:rFonts w:ascii="Times New Roman" w:hAnsi="Times New Roman" w:cs="Times New Roman"/>
                <w:sz w:val="24"/>
                <w:szCs w:val="24"/>
              </w:rPr>
            </w:pPr>
            <w:r w:rsidRPr="001862B2">
              <w:rPr>
                <w:rFonts w:ascii="Times New Roman" w:hAnsi="Times New Roman" w:cs="Times New Roman"/>
                <w:sz w:val="24"/>
                <w:szCs w:val="24"/>
              </w:rPr>
              <w:t>-21.2</w:t>
            </w:r>
          </w:p>
        </w:tc>
      </w:tr>
    </w:tbl>
    <w:p w:rsidR="00C82D21" w:rsidRPr="001862B2" w:rsidRDefault="00C82D21" w:rsidP="00C82D21">
      <w:pPr>
        <w:rPr>
          <w:rFonts w:ascii="Times New Roman" w:hAnsi="Times New Roman" w:cs="Times New Roman"/>
          <w:sz w:val="24"/>
          <w:szCs w:val="24"/>
        </w:rPr>
      </w:pPr>
    </w:p>
    <w:p w:rsidR="00F475CA" w:rsidRDefault="00F475CA" w:rsidP="00462DEB">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employment rates of young adult men and women in the U.S. declined sharply from 2000 to 2012, with men experiencing a larger percentage point decline than their female peers (13 vs 9 percentage points). The comparative ranking of males fell from 5</w:t>
      </w:r>
      <w:r w:rsidRPr="00F475CA">
        <w:rPr>
          <w:rFonts w:ascii="Times New Roman" w:hAnsi="Times New Roman" w:cs="Times New Roman"/>
          <w:sz w:val="24"/>
          <w:szCs w:val="24"/>
          <w:vertAlign w:val="superscript"/>
        </w:rPr>
        <w:t>th</w:t>
      </w:r>
      <w:r>
        <w:rPr>
          <w:rFonts w:ascii="Times New Roman" w:hAnsi="Times New Roman" w:cs="Times New Roman"/>
          <w:sz w:val="24"/>
          <w:szCs w:val="24"/>
        </w:rPr>
        <w:t xml:space="preserve"> highest in 2000 to 13</w:t>
      </w:r>
      <w:r w:rsidRPr="00F475CA">
        <w:rPr>
          <w:rFonts w:ascii="Times New Roman" w:hAnsi="Times New Roman" w:cs="Times New Roman"/>
          <w:sz w:val="24"/>
          <w:szCs w:val="24"/>
          <w:vertAlign w:val="superscript"/>
        </w:rPr>
        <w:t>th</w:t>
      </w:r>
      <w:r>
        <w:rPr>
          <w:rFonts w:ascii="Times New Roman" w:hAnsi="Times New Roman" w:cs="Times New Roman"/>
          <w:sz w:val="24"/>
          <w:szCs w:val="24"/>
        </w:rPr>
        <w:t xml:space="preserve"> highest in 2012. Whi</w:t>
      </w:r>
      <w:r w:rsidR="00087165">
        <w:rPr>
          <w:rFonts w:ascii="Times New Roman" w:hAnsi="Times New Roman" w:cs="Times New Roman"/>
          <w:sz w:val="24"/>
          <w:szCs w:val="24"/>
        </w:rPr>
        <w:t>l</w:t>
      </w:r>
      <w:r>
        <w:rPr>
          <w:rFonts w:ascii="Times New Roman" w:hAnsi="Times New Roman" w:cs="Times New Roman"/>
          <w:sz w:val="24"/>
          <w:szCs w:val="24"/>
        </w:rPr>
        <w:t>e young adult women experienced a lower percentage point decline than men in their employment rate over this time period, their ranking fell more precipitously</w:t>
      </w:r>
      <w:r w:rsidR="00647B4E">
        <w:rPr>
          <w:rFonts w:ascii="Times New Roman" w:hAnsi="Times New Roman" w:cs="Times New Roman"/>
          <w:sz w:val="24"/>
          <w:szCs w:val="24"/>
        </w:rPr>
        <w:t xml:space="preserve"> from 6</w:t>
      </w:r>
      <w:r w:rsidR="00647B4E" w:rsidRPr="00647B4E">
        <w:rPr>
          <w:rFonts w:ascii="Times New Roman" w:hAnsi="Times New Roman" w:cs="Times New Roman"/>
          <w:sz w:val="24"/>
          <w:szCs w:val="24"/>
          <w:vertAlign w:val="superscript"/>
        </w:rPr>
        <w:t>th</w:t>
      </w:r>
      <w:r w:rsidR="00647B4E">
        <w:rPr>
          <w:rFonts w:ascii="Times New Roman" w:hAnsi="Times New Roman" w:cs="Times New Roman"/>
          <w:sz w:val="24"/>
          <w:szCs w:val="24"/>
        </w:rPr>
        <w:t xml:space="preserve"> highest in 2000 to </w:t>
      </w:r>
      <w:r w:rsidR="00087165">
        <w:rPr>
          <w:rFonts w:ascii="Times New Roman" w:hAnsi="Times New Roman" w:cs="Times New Roman"/>
          <w:sz w:val="24"/>
          <w:szCs w:val="24"/>
        </w:rPr>
        <w:t xml:space="preserve">only </w:t>
      </w:r>
      <w:r w:rsidR="00647B4E">
        <w:rPr>
          <w:rFonts w:ascii="Times New Roman" w:hAnsi="Times New Roman" w:cs="Times New Roman"/>
          <w:sz w:val="24"/>
          <w:szCs w:val="24"/>
        </w:rPr>
        <w:t>19</w:t>
      </w:r>
      <w:r w:rsidR="00647B4E" w:rsidRPr="00647B4E">
        <w:rPr>
          <w:rFonts w:ascii="Times New Roman" w:hAnsi="Times New Roman" w:cs="Times New Roman"/>
          <w:sz w:val="24"/>
          <w:szCs w:val="24"/>
          <w:vertAlign w:val="superscript"/>
        </w:rPr>
        <w:t>th</w:t>
      </w:r>
      <w:r w:rsidR="00647B4E">
        <w:rPr>
          <w:rFonts w:ascii="Times New Roman" w:hAnsi="Times New Roman" w:cs="Times New Roman"/>
          <w:sz w:val="24"/>
          <w:szCs w:val="24"/>
        </w:rPr>
        <w:t xml:space="preserve"> highest in 2012. Again, </w:t>
      </w:r>
      <w:r w:rsidR="00647B4E">
        <w:rPr>
          <w:rFonts w:ascii="Times New Roman" w:hAnsi="Times New Roman" w:cs="Times New Roman"/>
          <w:sz w:val="24"/>
          <w:szCs w:val="24"/>
          <w:u w:val="single"/>
        </w:rPr>
        <w:t>we find that American young adults went from being an international leader in their employment rates in 2000 to a mediocre performer in 2012.</w:t>
      </w:r>
      <w:r>
        <w:rPr>
          <w:rFonts w:ascii="Times New Roman" w:hAnsi="Times New Roman" w:cs="Times New Roman"/>
          <w:sz w:val="24"/>
          <w:szCs w:val="24"/>
        </w:rPr>
        <w:t xml:space="preserve"> </w:t>
      </w:r>
    </w:p>
    <w:p w:rsidR="00BB19AE" w:rsidRDefault="00BB19AE" w:rsidP="00462DEB">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employment rates of young adults in 33 OECD countries in 2000 a</w:t>
      </w:r>
      <w:r w:rsidR="00087165">
        <w:rPr>
          <w:rFonts w:ascii="Times New Roman" w:hAnsi="Times New Roman" w:cs="Times New Roman"/>
          <w:sz w:val="24"/>
          <w:szCs w:val="24"/>
        </w:rPr>
        <w:t>nd 2012 are displayed in T</w:t>
      </w:r>
      <w:r>
        <w:rPr>
          <w:rFonts w:ascii="Times New Roman" w:hAnsi="Times New Roman" w:cs="Times New Roman"/>
          <w:sz w:val="24"/>
          <w:szCs w:val="24"/>
        </w:rPr>
        <w:t xml:space="preserve">able 7. These countries were ranked by their employment rates in 2012. In that year, there were extraordinarily large variations in young adult employment rates, ranging from highs of 72 to 73 </w:t>
      </w:r>
      <w:r w:rsidR="00CC07EB">
        <w:rPr>
          <w:rFonts w:ascii="Times New Roman" w:hAnsi="Times New Roman" w:cs="Times New Roman"/>
          <w:sz w:val="24"/>
          <w:szCs w:val="24"/>
        </w:rPr>
        <w:t>percent in Iceland, Switzerland, Australia, and the Netherlands to lows of 24 to 32 percent in Greece, Spain, and Italy.</w:t>
      </w:r>
      <w:r w:rsidR="00AD79A5">
        <w:rPr>
          <w:rStyle w:val="FootnoteReference"/>
          <w:rFonts w:ascii="Times New Roman" w:hAnsi="Times New Roman" w:cs="Times New Roman"/>
          <w:sz w:val="24"/>
          <w:szCs w:val="24"/>
        </w:rPr>
        <w:footnoteReference w:id="10"/>
      </w:r>
      <w:r w:rsidR="00CC07EB">
        <w:rPr>
          <w:rFonts w:ascii="Times New Roman" w:hAnsi="Times New Roman" w:cs="Times New Roman"/>
          <w:sz w:val="24"/>
          <w:szCs w:val="24"/>
        </w:rPr>
        <w:t xml:space="preserve"> Of these 33 OECD countries, only 6 either held their 2000 employment rates or experienced a modest increase. (.1 to 3.0 percentage points, with the exception of Israel, whose 2012 data are statistically suspect).</w:t>
      </w:r>
    </w:p>
    <w:p w:rsidR="009A371D" w:rsidRPr="00462DEB" w:rsidRDefault="00CC07EB" w:rsidP="00462DEB">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understand the magnitude of the influence</w:t>
      </w:r>
      <w:r w:rsidR="000200C4">
        <w:rPr>
          <w:rFonts w:ascii="Times New Roman" w:hAnsi="Times New Roman" w:cs="Times New Roman"/>
          <w:sz w:val="24"/>
          <w:szCs w:val="24"/>
        </w:rPr>
        <w:t xml:space="preserve"> of teen employment in earlier years and aggregate unemployment rates on the employment rate</w:t>
      </w:r>
      <w:r w:rsidR="00087165">
        <w:rPr>
          <w:rFonts w:ascii="Times New Roman" w:hAnsi="Times New Roman" w:cs="Times New Roman"/>
          <w:sz w:val="24"/>
          <w:szCs w:val="24"/>
        </w:rPr>
        <w:t>s</w:t>
      </w:r>
      <w:r w:rsidR="000200C4">
        <w:rPr>
          <w:rFonts w:ascii="Times New Roman" w:hAnsi="Times New Roman" w:cs="Times New Roman"/>
          <w:sz w:val="24"/>
          <w:szCs w:val="24"/>
        </w:rPr>
        <w:t xml:space="preserve"> of young adults in individual OECD countries in 2012, we estimated a multiple regression model of young adult employment rates across 36 countries in 2012, including two non-OECD countries</w:t>
      </w:r>
      <w:r w:rsidR="00087165">
        <w:rPr>
          <w:rFonts w:ascii="Times New Roman" w:hAnsi="Times New Roman" w:cs="Times New Roman"/>
          <w:sz w:val="24"/>
          <w:szCs w:val="24"/>
        </w:rPr>
        <w:t xml:space="preserve"> (Russia and South Africa)</w:t>
      </w:r>
      <w:r w:rsidR="000200C4">
        <w:rPr>
          <w:rFonts w:ascii="Times New Roman" w:hAnsi="Times New Roman" w:cs="Times New Roman"/>
          <w:sz w:val="24"/>
          <w:szCs w:val="24"/>
        </w:rPr>
        <w:t xml:space="preserve">. </w:t>
      </w:r>
      <w:r w:rsidR="009A371D" w:rsidRPr="00462DEB">
        <w:rPr>
          <w:rFonts w:ascii="Times New Roman" w:hAnsi="Times New Roman" w:cs="Times New Roman"/>
          <w:sz w:val="24"/>
          <w:szCs w:val="24"/>
        </w:rPr>
        <w:t>The dependent variable in this model is the employment/population ratio of 20-24 year olds living in the country during calendar year 2012.  The two explanatory variables are the employment/population ratio of teens (16-19) in that country five years earlier in 2007 and the aggregate unemployment rate of the nation in 2012.  Persons who were 16-19 years old in 2007 would have been 21-24 years old in 2012.  Our hypotheses are the follow</w:t>
      </w:r>
      <w:r w:rsidR="00940869">
        <w:rPr>
          <w:rFonts w:ascii="Times New Roman" w:hAnsi="Times New Roman" w:cs="Times New Roman"/>
          <w:sz w:val="24"/>
          <w:szCs w:val="24"/>
        </w:rPr>
        <w:t>ing</w:t>
      </w:r>
      <w:r w:rsidR="009A371D" w:rsidRPr="00462DEB">
        <w:rPr>
          <w:rFonts w:ascii="Times New Roman" w:hAnsi="Times New Roman" w:cs="Times New Roman"/>
          <w:sz w:val="24"/>
          <w:szCs w:val="24"/>
        </w:rPr>
        <w:t xml:space="preserve"> two:  the existence of positive path dependency would imply that the coefficient on the teen employment rate </w:t>
      </w:r>
      <w:r w:rsidR="009A371D" w:rsidRPr="00462DEB">
        <w:rPr>
          <w:rFonts w:ascii="Times New Roman" w:hAnsi="Times New Roman" w:cs="Times New Roman"/>
          <w:sz w:val="24"/>
          <w:szCs w:val="24"/>
        </w:rPr>
        <w:lastRenderedPageBreak/>
        <w:t>variable would be positive and that higher aggregate unemployment rates would significantly lower young adult employment rates, implyi</w:t>
      </w:r>
      <w:r w:rsidR="00FE05B6">
        <w:rPr>
          <w:rFonts w:ascii="Times New Roman" w:hAnsi="Times New Roman" w:cs="Times New Roman"/>
          <w:sz w:val="24"/>
          <w:szCs w:val="24"/>
        </w:rPr>
        <w:t>ng a negative coefficient on this</w:t>
      </w:r>
      <w:r w:rsidR="009A371D" w:rsidRPr="00462DEB">
        <w:rPr>
          <w:rFonts w:ascii="Times New Roman" w:hAnsi="Times New Roman" w:cs="Times New Roman"/>
          <w:sz w:val="24"/>
          <w:szCs w:val="24"/>
        </w:rPr>
        <w:t xml:space="preserve"> variable.  </w:t>
      </w:r>
    </w:p>
    <w:p w:rsidR="009A371D" w:rsidRDefault="009A371D" w:rsidP="00462DEB">
      <w:pPr>
        <w:spacing w:before="120" w:line="360" w:lineRule="auto"/>
        <w:ind w:firstLine="720"/>
        <w:jc w:val="both"/>
        <w:rPr>
          <w:rFonts w:ascii="Times New Roman" w:hAnsi="Times New Roman" w:cs="Times New Roman"/>
          <w:sz w:val="24"/>
          <w:szCs w:val="24"/>
        </w:rPr>
      </w:pPr>
      <w:r w:rsidRPr="00462DEB">
        <w:rPr>
          <w:rFonts w:ascii="Times New Roman" w:hAnsi="Times New Roman" w:cs="Times New Roman"/>
          <w:sz w:val="24"/>
          <w:szCs w:val="24"/>
        </w:rPr>
        <w:t xml:space="preserve">The findings of the regression model provide strong empirical support for both hypotheses (see Table </w:t>
      </w:r>
      <w:r w:rsidR="00C82D21">
        <w:rPr>
          <w:rFonts w:ascii="Times New Roman" w:hAnsi="Times New Roman" w:cs="Times New Roman"/>
          <w:sz w:val="24"/>
          <w:szCs w:val="24"/>
        </w:rPr>
        <w:t>8</w:t>
      </w:r>
      <w:r w:rsidRPr="00462DEB">
        <w:rPr>
          <w:rFonts w:ascii="Times New Roman" w:hAnsi="Times New Roman" w:cs="Times New Roman"/>
          <w:sz w:val="24"/>
          <w:szCs w:val="24"/>
        </w:rPr>
        <w:t>).  The coefficients for both variables had the hypothesized sign and were statistically significant at the .01 level.</w:t>
      </w:r>
      <w:r w:rsidRPr="00462DEB">
        <w:rPr>
          <w:rStyle w:val="FootnoteReference"/>
          <w:rFonts w:ascii="Times New Roman" w:hAnsi="Times New Roman" w:cs="Times New Roman"/>
          <w:sz w:val="24"/>
          <w:szCs w:val="24"/>
        </w:rPr>
        <w:footnoteReference w:id="11"/>
      </w:r>
      <w:r w:rsidRPr="00462DEB">
        <w:rPr>
          <w:rFonts w:ascii="Times New Roman" w:hAnsi="Times New Roman" w:cs="Times New Roman"/>
          <w:sz w:val="24"/>
          <w:szCs w:val="24"/>
        </w:rPr>
        <w:t xml:space="preserve">  The estimated value of the constant term was 51.0 and was significant at the .01 level.  The coefficient on the teen employment rate variable was .50, implying that a one percentage point higher teen employment rate five years earlier would raise the expected young adult employment rate by .5 percentage points, </w:t>
      </w:r>
      <w:r w:rsidRPr="00087165">
        <w:rPr>
          <w:rFonts w:ascii="Times New Roman" w:hAnsi="Times New Roman" w:cs="Times New Roman"/>
          <w:sz w:val="24"/>
          <w:szCs w:val="24"/>
          <w:u w:val="single"/>
        </w:rPr>
        <w:t>evidence of a high positive employability effect of early teen employment</w:t>
      </w:r>
      <w:r w:rsidRPr="00462DEB">
        <w:rPr>
          <w:rFonts w:ascii="Times New Roman" w:hAnsi="Times New Roman" w:cs="Times New Roman"/>
          <w:sz w:val="24"/>
          <w:szCs w:val="24"/>
        </w:rPr>
        <w:t xml:space="preserve">.  The coefficient on the aggregate unemployment rate was -1.25, implying that a </w:t>
      </w:r>
      <w:r w:rsidRPr="00087165">
        <w:rPr>
          <w:rFonts w:ascii="Times New Roman" w:hAnsi="Times New Roman" w:cs="Times New Roman"/>
          <w:sz w:val="24"/>
          <w:szCs w:val="24"/>
          <w:u w:val="single"/>
        </w:rPr>
        <w:t>one percentage point higher overall unemployment rate would reduce the young adult employment rate by 1.25 percentage points, a very large employment depressing effect</w:t>
      </w:r>
      <w:r w:rsidRPr="00462DEB">
        <w:rPr>
          <w:rFonts w:ascii="Times New Roman" w:hAnsi="Times New Roman" w:cs="Times New Roman"/>
          <w:sz w:val="24"/>
          <w:szCs w:val="24"/>
        </w:rPr>
        <w:t xml:space="preserve"> that reflects the combined results of higher overall unemployment on lowering the labor force participation rate of young adults and increasing their own unemployment rate.</w:t>
      </w:r>
    </w:p>
    <w:p w:rsidR="00462DEB" w:rsidRPr="00462DEB" w:rsidRDefault="00462DEB" w:rsidP="00462DEB">
      <w:pPr>
        <w:spacing w:before="120" w:line="360" w:lineRule="auto"/>
        <w:ind w:firstLine="720"/>
        <w:jc w:val="both"/>
        <w:rPr>
          <w:rFonts w:ascii="Times New Roman" w:hAnsi="Times New Roman" w:cs="Times New Roman"/>
          <w:sz w:val="24"/>
          <w:szCs w:val="24"/>
        </w:rPr>
      </w:pPr>
    </w:p>
    <w:p w:rsidR="00462DEB" w:rsidRPr="00462DEB" w:rsidRDefault="009A371D" w:rsidP="009A371D">
      <w:pPr>
        <w:jc w:val="center"/>
        <w:rPr>
          <w:rFonts w:ascii="Times New Roman" w:hAnsi="Times New Roman" w:cs="Times New Roman"/>
          <w:sz w:val="24"/>
          <w:szCs w:val="24"/>
          <w:u w:val="single"/>
        </w:rPr>
      </w:pPr>
      <w:r w:rsidRPr="00462DEB">
        <w:rPr>
          <w:rFonts w:ascii="Times New Roman" w:hAnsi="Times New Roman" w:cs="Times New Roman"/>
          <w:sz w:val="24"/>
          <w:szCs w:val="24"/>
          <w:u w:val="single"/>
        </w:rPr>
        <w:t xml:space="preserve">Table </w:t>
      </w:r>
      <w:r w:rsidR="00C82D21">
        <w:rPr>
          <w:rFonts w:ascii="Times New Roman" w:hAnsi="Times New Roman" w:cs="Times New Roman"/>
          <w:sz w:val="24"/>
          <w:szCs w:val="24"/>
          <w:u w:val="single"/>
        </w:rPr>
        <w:t>8</w:t>
      </w:r>
      <w:r w:rsidRPr="00462DEB">
        <w:rPr>
          <w:rFonts w:ascii="Times New Roman" w:hAnsi="Times New Roman" w:cs="Times New Roman"/>
          <w:sz w:val="24"/>
          <w:szCs w:val="24"/>
          <w:u w:val="single"/>
        </w:rPr>
        <w:t xml:space="preserve">:  </w:t>
      </w:r>
    </w:p>
    <w:p w:rsidR="009A371D" w:rsidRDefault="009A371D" w:rsidP="009A371D">
      <w:pPr>
        <w:jc w:val="center"/>
        <w:rPr>
          <w:rFonts w:ascii="Times New Roman" w:hAnsi="Times New Roman" w:cs="Times New Roman"/>
          <w:sz w:val="24"/>
          <w:szCs w:val="24"/>
          <w:u w:val="single"/>
        </w:rPr>
      </w:pPr>
      <w:r w:rsidRPr="00462DEB">
        <w:rPr>
          <w:rFonts w:ascii="Times New Roman" w:hAnsi="Times New Roman" w:cs="Times New Roman"/>
          <w:sz w:val="24"/>
          <w:szCs w:val="24"/>
          <w:u w:val="single"/>
        </w:rPr>
        <w:t>Findings of the Multiple Regression Analysis of the 2012 E/P Ratios of 20-24 Year Olds in the 34 OECD Nations and Russia / South Africa (N=36)</w:t>
      </w:r>
    </w:p>
    <w:p w:rsidR="00462DEB" w:rsidRPr="00462DEB" w:rsidRDefault="00462DEB" w:rsidP="009A371D">
      <w:pPr>
        <w:jc w:val="center"/>
        <w:rPr>
          <w:rFonts w:ascii="Times New Roman" w:hAnsi="Times New Roman" w:cs="Times New Roman"/>
          <w:sz w:val="24"/>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674"/>
        <w:gridCol w:w="1710"/>
        <w:gridCol w:w="1620"/>
      </w:tblGrid>
      <w:tr w:rsidR="009A371D" w:rsidRPr="00462DEB" w:rsidTr="00462DEB">
        <w:trPr>
          <w:jc w:val="center"/>
        </w:trPr>
        <w:tc>
          <w:tcPr>
            <w:tcW w:w="2394" w:type="dxa"/>
            <w:tcBorders>
              <w:top w:val="single" w:sz="4" w:space="0" w:color="auto"/>
              <w:bottom w:val="single" w:sz="4" w:space="0" w:color="auto"/>
            </w:tcBorders>
          </w:tcPr>
          <w:p w:rsidR="009A371D" w:rsidRPr="00462DEB" w:rsidRDefault="009A371D" w:rsidP="008A69F5">
            <w:pPr>
              <w:rPr>
                <w:rFonts w:ascii="Times New Roman" w:hAnsi="Times New Roman" w:cs="Times New Roman"/>
                <w:sz w:val="24"/>
                <w:szCs w:val="24"/>
              </w:rPr>
            </w:pPr>
          </w:p>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Variable</w:t>
            </w:r>
          </w:p>
        </w:tc>
        <w:tc>
          <w:tcPr>
            <w:tcW w:w="1674" w:type="dxa"/>
            <w:tcBorders>
              <w:top w:val="single" w:sz="4" w:space="0" w:color="auto"/>
              <w:bottom w:val="single" w:sz="4" w:space="0" w:color="auto"/>
            </w:tcBorders>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(A)</w:t>
            </w:r>
          </w:p>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Coefficient</w:t>
            </w:r>
          </w:p>
        </w:tc>
        <w:tc>
          <w:tcPr>
            <w:tcW w:w="1710" w:type="dxa"/>
            <w:tcBorders>
              <w:top w:val="single" w:sz="4" w:space="0" w:color="auto"/>
              <w:bottom w:val="single" w:sz="4" w:space="0" w:color="auto"/>
            </w:tcBorders>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(B)</w:t>
            </w:r>
          </w:p>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t-statistic</w:t>
            </w:r>
          </w:p>
        </w:tc>
        <w:tc>
          <w:tcPr>
            <w:tcW w:w="1620" w:type="dxa"/>
            <w:tcBorders>
              <w:top w:val="single" w:sz="4" w:space="0" w:color="auto"/>
              <w:bottom w:val="single" w:sz="4" w:space="0" w:color="auto"/>
            </w:tcBorders>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(C)</w:t>
            </w:r>
          </w:p>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Significance</w:t>
            </w:r>
          </w:p>
        </w:tc>
      </w:tr>
      <w:tr w:rsidR="009A371D" w:rsidRPr="00462DEB" w:rsidTr="008A69F5">
        <w:trPr>
          <w:trHeight w:val="413"/>
          <w:jc w:val="center"/>
        </w:trPr>
        <w:tc>
          <w:tcPr>
            <w:tcW w:w="2394" w:type="dxa"/>
            <w:tcBorders>
              <w:top w:val="single" w:sz="4" w:space="0" w:color="auto"/>
            </w:tcBorders>
            <w:vAlign w:val="center"/>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Constant</w:t>
            </w:r>
          </w:p>
        </w:tc>
        <w:tc>
          <w:tcPr>
            <w:tcW w:w="1674" w:type="dxa"/>
            <w:tcBorders>
              <w:top w:val="single" w:sz="4" w:space="0" w:color="auto"/>
            </w:tcBorders>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51.0</w:t>
            </w:r>
          </w:p>
        </w:tc>
        <w:tc>
          <w:tcPr>
            <w:tcW w:w="1710" w:type="dxa"/>
            <w:tcBorders>
              <w:top w:val="single" w:sz="4" w:space="0" w:color="auto"/>
            </w:tcBorders>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19.44</w:t>
            </w:r>
          </w:p>
        </w:tc>
        <w:tc>
          <w:tcPr>
            <w:tcW w:w="1620" w:type="dxa"/>
            <w:tcBorders>
              <w:top w:val="single" w:sz="4" w:space="0" w:color="auto"/>
            </w:tcBorders>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.01</w:t>
            </w:r>
          </w:p>
        </w:tc>
      </w:tr>
      <w:tr w:rsidR="009A371D" w:rsidRPr="00462DEB" w:rsidTr="00462DEB">
        <w:trPr>
          <w:trHeight w:val="710"/>
          <w:jc w:val="center"/>
        </w:trPr>
        <w:tc>
          <w:tcPr>
            <w:tcW w:w="2394" w:type="dxa"/>
            <w:vAlign w:val="center"/>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E/P Ratio of Teens in 2007</w:t>
            </w:r>
          </w:p>
        </w:tc>
        <w:tc>
          <w:tcPr>
            <w:tcW w:w="1674" w:type="dxa"/>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.50</w:t>
            </w:r>
          </w:p>
        </w:tc>
        <w:tc>
          <w:tcPr>
            <w:tcW w:w="1710" w:type="dxa"/>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9.14</w:t>
            </w:r>
          </w:p>
        </w:tc>
        <w:tc>
          <w:tcPr>
            <w:tcW w:w="1620" w:type="dxa"/>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.01</w:t>
            </w:r>
          </w:p>
        </w:tc>
      </w:tr>
      <w:tr w:rsidR="009A371D" w:rsidRPr="00462DEB" w:rsidTr="00462DEB">
        <w:trPr>
          <w:trHeight w:val="710"/>
          <w:jc w:val="center"/>
        </w:trPr>
        <w:tc>
          <w:tcPr>
            <w:tcW w:w="2394" w:type="dxa"/>
            <w:tcBorders>
              <w:bottom w:val="single" w:sz="4" w:space="0" w:color="auto"/>
            </w:tcBorders>
            <w:vAlign w:val="center"/>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Unemployment Rate of Country in 2012</w:t>
            </w:r>
          </w:p>
        </w:tc>
        <w:tc>
          <w:tcPr>
            <w:tcW w:w="1674" w:type="dxa"/>
            <w:tcBorders>
              <w:bottom w:val="single" w:sz="4" w:space="0" w:color="auto"/>
            </w:tcBorders>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-1.25</w:t>
            </w:r>
          </w:p>
        </w:tc>
        <w:tc>
          <w:tcPr>
            <w:tcW w:w="1710" w:type="dxa"/>
            <w:tcBorders>
              <w:bottom w:val="single" w:sz="4" w:space="0" w:color="auto"/>
            </w:tcBorders>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6.94</w:t>
            </w:r>
          </w:p>
        </w:tc>
        <w:tc>
          <w:tcPr>
            <w:tcW w:w="1620" w:type="dxa"/>
            <w:tcBorders>
              <w:bottom w:val="single" w:sz="4" w:space="0" w:color="auto"/>
            </w:tcBorders>
            <w:vAlign w:val="center"/>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.01</w:t>
            </w:r>
          </w:p>
        </w:tc>
      </w:tr>
      <w:tr w:rsidR="009A371D" w:rsidRPr="00462DEB" w:rsidTr="00462DEB">
        <w:trPr>
          <w:trHeight w:val="710"/>
          <w:jc w:val="center"/>
        </w:trPr>
        <w:tc>
          <w:tcPr>
            <w:tcW w:w="2394" w:type="dxa"/>
            <w:tcBorders>
              <w:top w:val="single" w:sz="4" w:space="0" w:color="auto"/>
            </w:tcBorders>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Model R²</w:t>
            </w:r>
          </w:p>
        </w:tc>
        <w:tc>
          <w:tcPr>
            <w:tcW w:w="1674" w:type="dxa"/>
            <w:tcBorders>
              <w:top w:val="single" w:sz="4" w:space="0" w:color="auto"/>
            </w:tcBorders>
            <w:vAlign w:val="bottom"/>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.864</w:t>
            </w:r>
          </w:p>
        </w:tc>
        <w:tc>
          <w:tcPr>
            <w:tcW w:w="1710" w:type="dxa"/>
            <w:tcBorders>
              <w:top w:val="single" w:sz="4" w:space="0" w:color="auto"/>
            </w:tcBorders>
          </w:tcPr>
          <w:p w:rsidR="009A371D" w:rsidRPr="00462DEB" w:rsidRDefault="009A371D" w:rsidP="008A69F5">
            <w:pPr>
              <w:jc w:val="center"/>
              <w:rPr>
                <w:rFonts w:ascii="Times New Roman" w:hAnsi="Times New Roman" w:cs="Times New Roman"/>
                <w:sz w:val="24"/>
                <w:szCs w:val="24"/>
              </w:rPr>
            </w:pPr>
          </w:p>
        </w:tc>
        <w:tc>
          <w:tcPr>
            <w:tcW w:w="1620" w:type="dxa"/>
            <w:tcBorders>
              <w:top w:val="single" w:sz="4" w:space="0" w:color="auto"/>
            </w:tcBorders>
          </w:tcPr>
          <w:p w:rsidR="009A371D" w:rsidRPr="00462DEB" w:rsidRDefault="009A371D" w:rsidP="008A69F5">
            <w:pPr>
              <w:jc w:val="center"/>
              <w:rPr>
                <w:rFonts w:ascii="Times New Roman" w:hAnsi="Times New Roman" w:cs="Times New Roman"/>
                <w:sz w:val="24"/>
                <w:szCs w:val="24"/>
              </w:rPr>
            </w:pPr>
          </w:p>
        </w:tc>
      </w:tr>
      <w:tr w:rsidR="009A371D" w:rsidRPr="00462DEB" w:rsidTr="008A69F5">
        <w:trPr>
          <w:trHeight w:val="449"/>
          <w:jc w:val="center"/>
        </w:trPr>
        <w:tc>
          <w:tcPr>
            <w:tcW w:w="2394"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Degrees of Freedom</w:t>
            </w:r>
          </w:p>
        </w:tc>
        <w:tc>
          <w:tcPr>
            <w:tcW w:w="1674" w:type="dxa"/>
            <w:vAlign w:val="bottom"/>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(2,33)</w:t>
            </w:r>
          </w:p>
        </w:tc>
        <w:tc>
          <w:tcPr>
            <w:tcW w:w="1710" w:type="dxa"/>
          </w:tcPr>
          <w:p w:rsidR="009A371D" w:rsidRPr="00462DEB" w:rsidRDefault="009A371D" w:rsidP="008A69F5">
            <w:pPr>
              <w:jc w:val="center"/>
              <w:rPr>
                <w:rFonts w:ascii="Times New Roman" w:hAnsi="Times New Roman" w:cs="Times New Roman"/>
                <w:sz w:val="24"/>
                <w:szCs w:val="24"/>
              </w:rPr>
            </w:pPr>
          </w:p>
        </w:tc>
        <w:tc>
          <w:tcPr>
            <w:tcW w:w="1620" w:type="dxa"/>
          </w:tcPr>
          <w:p w:rsidR="009A371D" w:rsidRPr="00462DEB" w:rsidRDefault="009A371D" w:rsidP="008A69F5">
            <w:pPr>
              <w:jc w:val="center"/>
              <w:rPr>
                <w:rFonts w:ascii="Times New Roman" w:hAnsi="Times New Roman" w:cs="Times New Roman"/>
                <w:sz w:val="24"/>
                <w:szCs w:val="24"/>
              </w:rPr>
            </w:pPr>
          </w:p>
        </w:tc>
      </w:tr>
      <w:tr w:rsidR="009A371D" w:rsidRPr="00462DEB" w:rsidTr="00462DEB">
        <w:trPr>
          <w:trHeight w:val="440"/>
          <w:jc w:val="center"/>
        </w:trPr>
        <w:tc>
          <w:tcPr>
            <w:tcW w:w="2394"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F</w:t>
            </w:r>
          </w:p>
        </w:tc>
        <w:tc>
          <w:tcPr>
            <w:tcW w:w="1674" w:type="dxa"/>
            <w:vAlign w:val="bottom"/>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104.8</w:t>
            </w:r>
          </w:p>
        </w:tc>
        <w:tc>
          <w:tcPr>
            <w:tcW w:w="1710" w:type="dxa"/>
          </w:tcPr>
          <w:p w:rsidR="009A371D" w:rsidRPr="00462DEB" w:rsidRDefault="009A371D" w:rsidP="008A69F5">
            <w:pPr>
              <w:jc w:val="center"/>
              <w:rPr>
                <w:rFonts w:ascii="Times New Roman" w:hAnsi="Times New Roman" w:cs="Times New Roman"/>
                <w:sz w:val="24"/>
                <w:szCs w:val="24"/>
              </w:rPr>
            </w:pPr>
          </w:p>
        </w:tc>
        <w:tc>
          <w:tcPr>
            <w:tcW w:w="1620" w:type="dxa"/>
          </w:tcPr>
          <w:p w:rsidR="009A371D" w:rsidRPr="00462DEB" w:rsidRDefault="009A371D" w:rsidP="008A69F5">
            <w:pPr>
              <w:jc w:val="center"/>
              <w:rPr>
                <w:rFonts w:ascii="Times New Roman" w:hAnsi="Times New Roman" w:cs="Times New Roman"/>
                <w:sz w:val="24"/>
                <w:szCs w:val="24"/>
              </w:rPr>
            </w:pPr>
          </w:p>
        </w:tc>
      </w:tr>
      <w:tr w:rsidR="009A371D" w:rsidRPr="00462DEB" w:rsidTr="00462DEB">
        <w:trPr>
          <w:trHeight w:val="431"/>
          <w:jc w:val="center"/>
        </w:trPr>
        <w:tc>
          <w:tcPr>
            <w:tcW w:w="2394" w:type="dxa"/>
            <w:tcBorders>
              <w:bottom w:val="single" w:sz="4" w:space="0" w:color="auto"/>
            </w:tcBorders>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Significance of F</w:t>
            </w:r>
          </w:p>
        </w:tc>
        <w:tc>
          <w:tcPr>
            <w:tcW w:w="1674" w:type="dxa"/>
            <w:tcBorders>
              <w:bottom w:val="single" w:sz="4" w:space="0" w:color="auto"/>
            </w:tcBorders>
            <w:vAlign w:val="bottom"/>
          </w:tcPr>
          <w:p w:rsidR="009A371D" w:rsidRPr="00462DEB" w:rsidRDefault="009A371D" w:rsidP="008A69F5">
            <w:pPr>
              <w:jc w:val="center"/>
              <w:rPr>
                <w:rFonts w:ascii="Times New Roman" w:hAnsi="Times New Roman" w:cs="Times New Roman"/>
                <w:sz w:val="24"/>
                <w:szCs w:val="24"/>
              </w:rPr>
            </w:pPr>
            <w:r w:rsidRPr="00462DEB">
              <w:rPr>
                <w:rFonts w:ascii="Times New Roman" w:hAnsi="Times New Roman" w:cs="Times New Roman"/>
                <w:sz w:val="24"/>
                <w:szCs w:val="24"/>
              </w:rPr>
              <w:t>.001</w:t>
            </w:r>
          </w:p>
        </w:tc>
        <w:tc>
          <w:tcPr>
            <w:tcW w:w="1710" w:type="dxa"/>
            <w:tcBorders>
              <w:bottom w:val="single" w:sz="4" w:space="0" w:color="auto"/>
            </w:tcBorders>
          </w:tcPr>
          <w:p w:rsidR="009A371D" w:rsidRPr="00462DEB" w:rsidRDefault="009A371D" w:rsidP="008A69F5">
            <w:pPr>
              <w:jc w:val="center"/>
              <w:rPr>
                <w:rFonts w:ascii="Times New Roman" w:hAnsi="Times New Roman" w:cs="Times New Roman"/>
                <w:sz w:val="24"/>
                <w:szCs w:val="24"/>
              </w:rPr>
            </w:pPr>
          </w:p>
        </w:tc>
        <w:tc>
          <w:tcPr>
            <w:tcW w:w="1620" w:type="dxa"/>
            <w:tcBorders>
              <w:bottom w:val="single" w:sz="4" w:space="0" w:color="auto"/>
            </w:tcBorders>
          </w:tcPr>
          <w:p w:rsidR="009A371D" w:rsidRPr="00462DEB" w:rsidRDefault="009A371D" w:rsidP="008A69F5">
            <w:pPr>
              <w:jc w:val="center"/>
              <w:rPr>
                <w:rFonts w:ascii="Times New Roman" w:hAnsi="Times New Roman" w:cs="Times New Roman"/>
                <w:sz w:val="24"/>
                <w:szCs w:val="24"/>
              </w:rPr>
            </w:pPr>
          </w:p>
        </w:tc>
      </w:tr>
    </w:tbl>
    <w:p w:rsidR="009A371D" w:rsidRDefault="009A371D" w:rsidP="009A371D">
      <w:pPr>
        <w:rPr>
          <w:szCs w:val="24"/>
        </w:rPr>
      </w:pPr>
    </w:p>
    <w:p w:rsidR="00462DEB" w:rsidRPr="00462DEB" w:rsidRDefault="009A371D" w:rsidP="00462DEB">
      <w:pPr>
        <w:spacing w:before="120" w:line="360" w:lineRule="auto"/>
        <w:ind w:firstLine="720"/>
        <w:jc w:val="both"/>
        <w:rPr>
          <w:rFonts w:ascii="Times New Roman" w:hAnsi="Times New Roman" w:cs="Times New Roman"/>
          <w:sz w:val="24"/>
          <w:szCs w:val="24"/>
        </w:rPr>
      </w:pPr>
      <w:r w:rsidRPr="00462DEB">
        <w:rPr>
          <w:rFonts w:ascii="Times New Roman" w:hAnsi="Times New Roman" w:cs="Times New Roman"/>
          <w:sz w:val="24"/>
          <w:szCs w:val="24"/>
        </w:rPr>
        <w:lastRenderedPageBreak/>
        <w:t xml:space="preserve">The regression model performs quite admirably in explaining the extraordinary variability in the employment rates of young adults in these 36 nations.  The R² statistic had a value of .864, and the F-statistic was 104.8 </w:t>
      </w:r>
      <w:r w:rsidR="00FE05B6">
        <w:rPr>
          <w:rFonts w:ascii="Times New Roman" w:hAnsi="Times New Roman" w:cs="Times New Roman"/>
          <w:sz w:val="24"/>
          <w:szCs w:val="24"/>
        </w:rPr>
        <w:t xml:space="preserve">which was statistically </w:t>
      </w:r>
      <w:r w:rsidRPr="00462DEB">
        <w:rPr>
          <w:rFonts w:ascii="Times New Roman" w:hAnsi="Times New Roman" w:cs="Times New Roman"/>
          <w:sz w:val="24"/>
          <w:szCs w:val="24"/>
        </w:rPr>
        <w:t xml:space="preserve">significant at the .001 level.  The model’s predictions were quite on target at both the low and high end of the employment rate distribution.  For both Greece and Spain, two low performers, the gap between the actual and predicted employment rates was only .6 percentage points.  For Switzerland and the Netherlands, two high performers, the gap between the actual and predicted young adult employment rates was only 1.0 and 2.0 percentage points, respectively.  For the U.S., the actual young adult employment rate of 61.4% exceeded the predicted rate of 58.3% by slightly more than three percentage points (see Table </w:t>
      </w:r>
      <w:r w:rsidR="00C82D21">
        <w:rPr>
          <w:rFonts w:ascii="Times New Roman" w:hAnsi="Times New Roman" w:cs="Times New Roman"/>
          <w:sz w:val="24"/>
          <w:szCs w:val="24"/>
        </w:rPr>
        <w:t>9</w:t>
      </w:r>
      <w:r w:rsidRPr="00462DEB">
        <w:rPr>
          <w:rFonts w:ascii="Times New Roman" w:hAnsi="Times New Roman" w:cs="Times New Roman"/>
          <w:sz w:val="24"/>
          <w:szCs w:val="24"/>
        </w:rPr>
        <w:t>).</w:t>
      </w:r>
    </w:p>
    <w:p w:rsidR="00462DEB" w:rsidRPr="00462DEB" w:rsidRDefault="00AD79A5" w:rsidP="00462DEB">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C82D21">
        <w:rPr>
          <w:rFonts w:ascii="Times New Roman" w:hAnsi="Times New Roman" w:cs="Times New Roman"/>
          <w:sz w:val="24"/>
          <w:szCs w:val="24"/>
          <w:u w:val="single"/>
        </w:rPr>
        <w:t>9</w:t>
      </w:r>
      <w:r w:rsidR="009A371D" w:rsidRPr="00462DEB">
        <w:rPr>
          <w:rFonts w:ascii="Times New Roman" w:hAnsi="Times New Roman" w:cs="Times New Roman"/>
          <w:sz w:val="24"/>
          <w:szCs w:val="24"/>
          <w:u w:val="single"/>
        </w:rPr>
        <w:t>:</w:t>
      </w:r>
    </w:p>
    <w:p w:rsidR="009A371D" w:rsidRDefault="009A371D" w:rsidP="00462DEB">
      <w:pPr>
        <w:jc w:val="center"/>
        <w:rPr>
          <w:rFonts w:ascii="Times New Roman" w:hAnsi="Times New Roman" w:cs="Times New Roman"/>
          <w:sz w:val="24"/>
          <w:szCs w:val="24"/>
          <w:u w:val="single"/>
        </w:rPr>
      </w:pPr>
      <w:r w:rsidRPr="00462DEB">
        <w:rPr>
          <w:rFonts w:ascii="Times New Roman" w:hAnsi="Times New Roman" w:cs="Times New Roman"/>
          <w:sz w:val="24"/>
          <w:szCs w:val="24"/>
          <w:u w:val="single"/>
        </w:rPr>
        <w:t>Comparisons of the Predicted and Actual Employment Rates of 20-24 Year Olds in the U.S. and Selected Other Countries, 2012</w:t>
      </w:r>
    </w:p>
    <w:p w:rsidR="00462DEB" w:rsidRPr="00462DEB" w:rsidRDefault="00462DEB" w:rsidP="00462DEB">
      <w:pPr>
        <w:jc w:val="center"/>
        <w:rPr>
          <w:rFonts w:ascii="Times New Roman" w:hAnsi="Times New Roman" w:cs="Times New Roman"/>
          <w:sz w:val="24"/>
          <w:szCs w:val="24"/>
          <w:u w:val="single"/>
        </w:rPr>
      </w:pPr>
    </w:p>
    <w:tbl>
      <w:tblPr>
        <w:tblStyle w:val="TableGrid"/>
        <w:tblW w:w="0" w:type="auto"/>
        <w:jc w:val="center"/>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1584"/>
        <w:gridCol w:w="1530"/>
        <w:gridCol w:w="1971"/>
      </w:tblGrid>
      <w:tr w:rsidR="009A371D" w:rsidRPr="00462DEB" w:rsidTr="00462DEB">
        <w:trPr>
          <w:jc w:val="center"/>
        </w:trPr>
        <w:tc>
          <w:tcPr>
            <w:tcW w:w="1779" w:type="dxa"/>
            <w:tcBorders>
              <w:top w:val="single" w:sz="4" w:space="0" w:color="auto"/>
              <w:bottom w:val="single" w:sz="4" w:space="0" w:color="auto"/>
            </w:tcBorders>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Country</w:t>
            </w:r>
          </w:p>
        </w:tc>
        <w:tc>
          <w:tcPr>
            <w:tcW w:w="1584" w:type="dxa"/>
            <w:tcBorders>
              <w:top w:val="single" w:sz="4" w:space="0" w:color="auto"/>
              <w:bottom w:val="single" w:sz="4" w:space="0" w:color="auto"/>
            </w:tcBorders>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(A)</w:t>
            </w:r>
          </w:p>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Predicted E/P</w:t>
            </w:r>
          </w:p>
        </w:tc>
        <w:tc>
          <w:tcPr>
            <w:tcW w:w="1530" w:type="dxa"/>
            <w:tcBorders>
              <w:top w:val="single" w:sz="4" w:space="0" w:color="auto"/>
              <w:bottom w:val="single" w:sz="4" w:space="0" w:color="auto"/>
            </w:tcBorders>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(B)</w:t>
            </w:r>
          </w:p>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Actual E/P</w:t>
            </w:r>
          </w:p>
        </w:tc>
        <w:tc>
          <w:tcPr>
            <w:tcW w:w="1971" w:type="dxa"/>
            <w:tcBorders>
              <w:top w:val="single" w:sz="4" w:space="0" w:color="auto"/>
              <w:bottom w:val="single" w:sz="4" w:space="0" w:color="auto"/>
            </w:tcBorders>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(C)</w:t>
            </w:r>
          </w:p>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Actual - Predicted</w:t>
            </w:r>
          </w:p>
        </w:tc>
      </w:tr>
      <w:tr w:rsidR="009A371D" w:rsidRPr="00462DEB" w:rsidTr="008A69F5">
        <w:trPr>
          <w:trHeight w:val="374"/>
          <w:jc w:val="center"/>
        </w:trPr>
        <w:tc>
          <w:tcPr>
            <w:tcW w:w="1779" w:type="dxa"/>
            <w:tcBorders>
              <w:top w:val="single" w:sz="4" w:space="0" w:color="auto"/>
            </w:tcBorders>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U.S.</w:t>
            </w:r>
          </w:p>
        </w:tc>
        <w:tc>
          <w:tcPr>
            <w:tcW w:w="1584" w:type="dxa"/>
            <w:tcBorders>
              <w:top w:val="single" w:sz="4" w:space="0" w:color="auto"/>
            </w:tcBorders>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58.3</w:t>
            </w:r>
          </w:p>
        </w:tc>
        <w:tc>
          <w:tcPr>
            <w:tcW w:w="1530" w:type="dxa"/>
            <w:tcBorders>
              <w:top w:val="single" w:sz="4" w:space="0" w:color="auto"/>
            </w:tcBorders>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61.4</w:t>
            </w:r>
          </w:p>
        </w:tc>
        <w:tc>
          <w:tcPr>
            <w:tcW w:w="1971" w:type="dxa"/>
            <w:tcBorders>
              <w:top w:val="single" w:sz="4" w:space="0" w:color="auto"/>
            </w:tcBorders>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+3.1</w:t>
            </w:r>
          </w:p>
        </w:tc>
      </w:tr>
      <w:tr w:rsidR="009A371D" w:rsidRPr="00462DEB" w:rsidTr="008A69F5">
        <w:trPr>
          <w:trHeight w:val="374"/>
          <w:jc w:val="center"/>
        </w:trPr>
        <w:tc>
          <w:tcPr>
            <w:tcW w:w="1779"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Greece</w:t>
            </w:r>
          </w:p>
        </w:tc>
        <w:tc>
          <w:tcPr>
            <w:tcW w:w="1584"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24.3</w:t>
            </w:r>
          </w:p>
        </w:tc>
        <w:tc>
          <w:tcPr>
            <w:tcW w:w="1530"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23.7</w:t>
            </w:r>
          </w:p>
        </w:tc>
        <w:tc>
          <w:tcPr>
            <w:tcW w:w="1971"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-0.6</w:t>
            </w:r>
          </w:p>
        </w:tc>
      </w:tr>
      <w:tr w:rsidR="009A371D" w:rsidRPr="00462DEB" w:rsidTr="008A69F5">
        <w:trPr>
          <w:trHeight w:val="374"/>
          <w:jc w:val="center"/>
        </w:trPr>
        <w:tc>
          <w:tcPr>
            <w:tcW w:w="1779"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Spain</w:t>
            </w:r>
          </w:p>
        </w:tc>
        <w:tc>
          <w:tcPr>
            <w:tcW w:w="1584"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30.4</w:t>
            </w:r>
          </w:p>
        </w:tc>
        <w:tc>
          <w:tcPr>
            <w:tcW w:w="1530"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31.0</w:t>
            </w:r>
          </w:p>
        </w:tc>
        <w:tc>
          <w:tcPr>
            <w:tcW w:w="1971"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+0.6</w:t>
            </w:r>
          </w:p>
        </w:tc>
      </w:tr>
      <w:tr w:rsidR="009A371D" w:rsidRPr="00462DEB" w:rsidTr="008A69F5">
        <w:trPr>
          <w:trHeight w:val="374"/>
          <w:jc w:val="center"/>
        </w:trPr>
        <w:tc>
          <w:tcPr>
            <w:tcW w:w="1779"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Ireland</w:t>
            </w:r>
          </w:p>
        </w:tc>
        <w:tc>
          <w:tcPr>
            <w:tcW w:w="1584"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44.4</w:t>
            </w:r>
          </w:p>
        </w:tc>
        <w:tc>
          <w:tcPr>
            <w:tcW w:w="1530"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46.5</w:t>
            </w:r>
          </w:p>
        </w:tc>
        <w:tc>
          <w:tcPr>
            <w:tcW w:w="1971"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+2.1</w:t>
            </w:r>
          </w:p>
        </w:tc>
      </w:tr>
      <w:tr w:rsidR="009A371D" w:rsidRPr="00462DEB" w:rsidTr="008A69F5">
        <w:trPr>
          <w:trHeight w:val="374"/>
          <w:jc w:val="center"/>
        </w:trPr>
        <w:tc>
          <w:tcPr>
            <w:tcW w:w="1779"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Iceland</w:t>
            </w:r>
          </w:p>
        </w:tc>
        <w:tc>
          <w:tcPr>
            <w:tcW w:w="1584"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78.3</w:t>
            </w:r>
          </w:p>
        </w:tc>
        <w:tc>
          <w:tcPr>
            <w:tcW w:w="1530"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71.7</w:t>
            </w:r>
          </w:p>
        </w:tc>
        <w:tc>
          <w:tcPr>
            <w:tcW w:w="1971"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-6.6</w:t>
            </w:r>
          </w:p>
        </w:tc>
      </w:tr>
      <w:tr w:rsidR="009A371D" w:rsidRPr="00462DEB" w:rsidTr="008A69F5">
        <w:trPr>
          <w:trHeight w:val="374"/>
          <w:jc w:val="center"/>
        </w:trPr>
        <w:tc>
          <w:tcPr>
            <w:tcW w:w="1779"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Switzerland</w:t>
            </w:r>
          </w:p>
        </w:tc>
        <w:tc>
          <w:tcPr>
            <w:tcW w:w="1584"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70.8</w:t>
            </w:r>
          </w:p>
        </w:tc>
        <w:tc>
          <w:tcPr>
            <w:tcW w:w="1530"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71.8</w:t>
            </w:r>
          </w:p>
        </w:tc>
        <w:tc>
          <w:tcPr>
            <w:tcW w:w="1971"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+1.0</w:t>
            </w:r>
          </w:p>
        </w:tc>
      </w:tr>
      <w:tr w:rsidR="009A371D" w:rsidRPr="00462DEB" w:rsidTr="00462DEB">
        <w:trPr>
          <w:trHeight w:val="374"/>
          <w:jc w:val="center"/>
        </w:trPr>
        <w:tc>
          <w:tcPr>
            <w:tcW w:w="1779" w:type="dxa"/>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Netherlands</w:t>
            </w:r>
          </w:p>
        </w:tc>
        <w:tc>
          <w:tcPr>
            <w:tcW w:w="1584"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70.8</w:t>
            </w:r>
          </w:p>
        </w:tc>
        <w:tc>
          <w:tcPr>
            <w:tcW w:w="1530"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72.8</w:t>
            </w:r>
          </w:p>
        </w:tc>
        <w:tc>
          <w:tcPr>
            <w:tcW w:w="1971" w:type="dxa"/>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+2.0</w:t>
            </w:r>
          </w:p>
        </w:tc>
      </w:tr>
      <w:tr w:rsidR="009A371D" w:rsidRPr="00462DEB" w:rsidTr="00462DEB">
        <w:trPr>
          <w:trHeight w:val="374"/>
          <w:jc w:val="center"/>
        </w:trPr>
        <w:tc>
          <w:tcPr>
            <w:tcW w:w="1779" w:type="dxa"/>
            <w:tcBorders>
              <w:bottom w:val="single" w:sz="4" w:space="0" w:color="auto"/>
            </w:tcBorders>
            <w:vAlign w:val="bottom"/>
          </w:tcPr>
          <w:p w:rsidR="009A371D" w:rsidRPr="00462DEB" w:rsidRDefault="009A371D" w:rsidP="008A69F5">
            <w:pPr>
              <w:rPr>
                <w:rFonts w:ascii="Times New Roman" w:hAnsi="Times New Roman" w:cs="Times New Roman"/>
                <w:sz w:val="24"/>
                <w:szCs w:val="24"/>
              </w:rPr>
            </w:pPr>
            <w:r w:rsidRPr="00462DEB">
              <w:rPr>
                <w:rFonts w:ascii="Times New Roman" w:hAnsi="Times New Roman" w:cs="Times New Roman"/>
                <w:sz w:val="24"/>
                <w:szCs w:val="24"/>
              </w:rPr>
              <w:t>Russia</w:t>
            </w:r>
          </w:p>
        </w:tc>
        <w:tc>
          <w:tcPr>
            <w:tcW w:w="1584" w:type="dxa"/>
            <w:tcBorders>
              <w:bottom w:val="single" w:sz="4" w:space="0" w:color="auto"/>
            </w:tcBorders>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49.7</w:t>
            </w:r>
          </w:p>
        </w:tc>
        <w:tc>
          <w:tcPr>
            <w:tcW w:w="1530" w:type="dxa"/>
            <w:tcBorders>
              <w:bottom w:val="single" w:sz="4" w:space="0" w:color="auto"/>
            </w:tcBorders>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51.5</w:t>
            </w:r>
          </w:p>
        </w:tc>
        <w:tc>
          <w:tcPr>
            <w:tcW w:w="1971" w:type="dxa"/>
            <w:tcBorders>
              <w:bottom w:val="single" w:sz="4" w:space="0" w:color="auto"/>
            </w:tcBorders>
            <w:vAlign w:val="bottom"/>
          </w:tcPr>
          <w:p w:rsidR="009A371D" w:rsidRPr="00462DEB" w:rsidRDefault="009A371D" w:rsidP="00462DEB">
            <w:pPr>
              <w:jc w:val="right"/>
              <w:rPr>
                <w:rFonts w:ascii="Times New Roman" w:hAnsi="Times New Roman" w:cs="Times New Roman"/>
                <w:sz w:val="24"/>
                <w:szCs w:val="24"/>
              </w:rPr>
            </w:pPr>
            <w:r w:rsidRPr="00462DEB">
              <w:rPr>
                <w:rFonts w:ascii="Times New Roman" w:hAnsi="Times New Roman" w:cs="Times New Roman"/>
                <w:sz w:val="24"/>
                <w:szCs w:val="24"/>
              </w:rPr>
              <w:t>+1.8</w:t>
            </w:r>
          </w:p>
        </w:tc>
      </w:tr>
    </w:tbl>
    <w:p w:rsidR="009A371D" w:rsidRDefault="009A371D" w:rsidP="009A371D">
      <w:pPr>
        <w:rPr>
          <w:rFonts w:cs="Times New Roman"/>
          <w:szCs w:val="24"/>
        </w:rPr>
      </w:pPr>
    </w:p>
    <w:p w:rsidR="005710AE" w:rsidRDefault="009A371D" w:rsidP="00C97984">
      <w:pPr>
        <w:spacing w:before="120" w:line="360" w:lineRule="auto"/>
        <w:ind w:firstLine="720"/>
        <w:jc w:val="both"/>
        <w:rPr>
          <w:rFonts w:ascii="Times New Roman" w:hAnsi="Times New Roman" w:cs="Times New Roman"/>
          <w:sz w:val="20"/>
          <w:szCs w:val="20"/>
        </w:rPr>
      </w:pPr>
      <w:r w:rsidRPr="00462DEB">
        <w:rPr>
          <w:rFonts w:ascii="Times New Roman" w:hAnsi="Times New Roman" w:cs="Times New Roman"/>
          <w:sz w:val="24"/>
          <w:szCs w:val="24"/>
          <w:u w:val="single"/>
        </w:rPr>
        <w:t>The results of the regression model do clearly illustrate the importance of exposure to work experience as a teen in promoting their employability in their young adult years.</w:t>
      </w:r>
      <w:r w:rsidRPr="00462DEB">
        <w:rPr>
          <w:rFonts w:ascii="Times New Roman" w:hAnsi="Times New Roman" w:cs="Times New Roman"/>
          <w:sz w:val="24"/>
          <w:szCs w:val="24"/>
        </w:rPr>
        <w:t xml:space="preserve">  The costs of low employment in the teen years are not simply </w:t>
      </w:r>
      <w:r w:rsidR="00FD7168">
        <w:rPr>
          <w:rFonts w:ascii="Times New Roman" w:hAnsi="Times New Roman" w:cs="Times New Roman"/>
          <w:sz w:val="24"/>
          <w:szCs w:val="24"/>
        </w:rPr>
        <w:t>con</w:t>
      </w:r>
      <w:r w:rsidR="00D82FE5">
        <w:rPr>
          <w:rFonts w:ascii="Times New Roman" w:hAnsi="Times New Roman" w:cs="Times New Roman"/>
          <w:sz w:val="24"/>
          <w:szCs w:val="24"/>
        </w:rPr>
        <w:t>fine</w:t>
      </w:r>
      <w:r w:rsidR="00FD7168">
        <w:rPr>
          <w:rFonts w:ascii="Times New Roman" w:hAnsi="Times New Roman" w:cs="Times New Roman"/>
          <w:sz w:val="24"/>
          <w:szCs w:val="24"/>
        </w:rPr>
        <w:t xml:space="preserve">d to </w:t>
      </w:r>
      <w:r w:rsidRPr="00462DEB">
        <w:rPr>
          <w:rFonts w:ascii="Times New Roman" w:hAnsi="Times New Roman" w:cs="Times New Roman"/>
          <w:sz w:val="24"/>
          <w:szCs w:val="24"/>
        </w:rPr>
        <w:t xml:space="preserve">the lost earnings as a teen but </w:t>
      </w:r>
      <w:r w:rsidR="00087165">
        <w:rPr>
          <w:rFonts w:ascii="Times New Roman" w:hAnsi="Times New Roman" w:cs="Times New Roman"/>
          <w:sz w:val="24"/>
          <w:szCs w:val="24"/>
        </w:rPr>
        <w:t xml:space="preserve">also </w:t>
      </w:r>
      <w:r w:rsidR="00D82FE5">
        <w:rPr>
          <w:rFonts w:ascii="Times New Roman" w:hAnsi="Times New Roman" w:cs="Times New Roman"/>
          <w:sz w:val="24"/>
          <w:szCs w:val="24"/>
        </w:rPr>
        <w:t xml:space="preserve">include </w:t>
      </w:r>
      <w:r w:rsidRPr="00462DEB">
        <w:rPr>
          <w:rFonts w:ascii="Times New Roman" w:hAnsi="Times New Roman" w:cs="Times New Roman"/>
          <w:sz w:val="24"/>
          <w:szCs w:val="24"/>
        </w:rPr>
        <w:t xml:space="preserve">lower </w:t>
      </w:r>
      <w:r w:rsidR="00087165">
        <w:rPr>
          <w:rFonts w:ascii="Times New Roman" w:hAnsi="Times New Roman" w:cs="Times New Roman"/>
          <w:sz w:val="24"/>
          <w:szCs w:val="24"/>
        </w:rPr>
        <w:t xml:space="preserve">employability, </w:t>
      </w:r>
      <w:r w:rsidRPr="00462DEB">
        <w:rPr>
          <w:rFonts w:ascii="Times New Roman" w:hAnsi="Times New Roman" w:cs="Times New Roman"/>
          <w:sz w:val="24"/>
          <w:szCs w:val="24"/>
        </w:rPr>
        <w:t>wages</w:t>
      </w:r>
      <w:r w:rsidR="00D82FE5">
        <w:rPr>
          <w:rFonts w:ascii="Times New Roman" w:hAnsi="Times New Roman" w:cs="Times New Roman"/>
          <w:sz w:val="24"/>
          <w:szCs w:val="24"/>
        </w:rPr>
        <w:t>,</w:t>
      </w:r>
      <w:r w:rsidRPr="00462DEB">
        <w:rPr>
          <w:rFonts w:ascii="Times New Roman" w:hAnsi="Times New Roman" w:cs="Times New Roman"/>
          <w:sz w:val="24"/>
          <w:szCs w:val="24"/>
        </w:rPr>
        <w:t xml:space="preserve"> and annual earnings in the young adult years, especially from lost full time employment</w:t>
      </w:r>
      <w:r w:rsidR="00FD7168">
        <w:rPr>
          <w:rFonts w:ascii="Times New Roman" w:hAnsi="Times New Roman" w:cs="Times New Roman"/>
          <w:sz w:val="24"/>
          <w:szCs w:val="24"/>
        </w:rPr>
        <w:t xml:space="preserve"> and training from employers</w:t>
      </w:r>
      <w:r w:rsidRPr="00462DEB">
        <w:rPr>
          <w:rFonts w:ascii="Times New Roman" w:hAnsi="Times New Roman" w:cs="Times New Roman"/>
          <w:sz w:val="24"/>
          <w:szCs w:val="24"/>
        </w:rPr>
        <w:t>.</w:t>
      </w:r>
      <w:r w:rsidR="00D82FE5" w:rsidRPr="00D82FE5">
        <w:rPr>
          <w:rStyle w:val="FootnoteReference"/>
          <w:rFonts w:ascii="Times New Roman" w:hAnsi="Times New Roman" w:cs="Times New Roman"/>
          <w:sz w:val="24"/>
          <w:szCs w:val="24"/>
        </w:rPr>
        <w:t xml:space="preserve"> </w:t>
      </w:r>
      <w:r w:rsidR="00D82FE5">
        <w:rPr>
          <w:rStyle w:val="FootnoteReference"/>
          <w:rFonts w:ascii="Times New Roman" w:hAnsi="Times New Roman" w:cs="Times New Roman"/>
          <w:sz w:val="24"/>
          <w:szCs w:val="24"/>
        </w:rPr>
        <w:footnoteReference w:id="12"/>
      </w:r>
      <w:r w:rsidR="00D82FE5" w:rsidRPr="00462DEB">
        <w:rPr>
          <w:rFonts w:ascii="Times New Roman" w:hAnsi="Times New Roman" w:cs="Times New Roman"/>
          <w:sz w:val="24"/>
          <w:szCs w:val="24"/>
        </w:rPr>
        <w:t xml:space="preserve"> </w:t>
      </w:r>
      <w:r w:rsidR="00D82FE5">
        <w:rPr>
          <w:rFonts w:ascii="Times New Roman" w:hAnsi="Times New Roman" w:cs="Times New Roman"/>
          <w:sz w:val="24"/>
          <w:szCs w:val="24"/>
        </w:rPr>
        <w:t xml:space="preserve"> These lost opportunities in work </w:t>
      </w:r>
      <w:r w:rsidR="00D82FE5">
        <w:rPr>
          <w:rFonts w:ascii="Times New Roman" w:hAnsi="Times New Roman" w:cs="Times New Roman"/>
          <w:sz w:val="24"/>
          <w:szCs w:val="24"/>
        </w:rPr>
        <w:lastRenderedPageBreak/>
        <w:t>experience also contribute to a reduction in the soft skills of attendance, co-worker relationships, ability to work under supervision, and good customer relations.</w:t>
      </w:r>
    </w:p>
    <w:sectPr w:rsidR="005710AE" w:rsidSect="0037352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DE" w:rsidRDefault="002479DE" w:rsidP="000C3A0A">
      <w:r>
        <w:separator/>
      </w:r>
    </w:p>
  </w:endnote>
  <w:endnote w:type="continuationSeparator" w:id="0">
    <w:p w:rsidR="002479DE" w:rsidRDefault="002479DE" w:rsidP="000C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D7" w:rsidRDefault="00172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05362"/>
      <w:docPartObj>
        <w:docPartGallery w:val="Page Numbers (Bottom of Page)"/>
        <w:docPartUnique/>
      </w:docPartObj>
    </w:sdtPr>
    <w:sdtEndPr>
      <w:rPr>
        <w:noProof/>
      </w:rPr>
    </w:sdtEndPr>
    <w:sdtContent>
      <w:p w:rsidR="001726D7" w:rsidRDefault="001726D7">
        <w:pPr>
          <w:pStyle w:val="Footer"/>
          <w:jc w:val="center"/>
        </w:pPr>
        <w:r>
          <w:fldChar w:fldCharType="begin"/>
        </w:r>
        <w:r>
          <w:instrText xml:space="preserve"> PAGE   \* MERGEFORMAT </w:instrText>
        </w:r>
        <w:r>
          <w:fldChar w:fldCharType="separate"/>
        </w:r>
        <w:r w:rsidR="00B04778">
          <w:rPr>
            <w:noProof/>
          </w:rPr>
          <w:t>22</w:t>
        </w:r>
        <w:r>
          <w:rPr>
            <w:noProof/>
          </w:rPr>
          <w:fldChar w:fldCharType="end"/>
        </w:r>
      </w:p>
    </w:sdtContent>
  </w:sdt>
  <w:p w:rsidR="001726D7" w:rsidRDefault="00172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D7" w:rsidRDefault="00172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DE" w:rsidRDefault="002479DE" w:rsidP="000C3A0A">
      <w:r>
        <w:separator/>
      </w:r>
    </w:p>
  </w:footnote>
  <w:footnote w:type="continuationSeparator" w:id="0">
    <w:p w:rsidR="002479DE" w:rsidRDefault="002479DE" w:rsidP="000C3A0A">
      <w:r>
        <w:continuationSeparator/>
      </w:r>
    </w:p>
  </w:footnote>
  <w:footnote w:id="1">
    <w:p w:rsidR="00901178" w:rsidRPr="003E4FB8" w:rsidRDefault="00901178" w:rsidP="00901178">
      <w:pPr>
        <w:pStyle w:val="FootnoteText"/>
        <w:jc w:val="both"/>
        <w:rPr>
          <w:rFonts w:ascii="Times New Roman" w:hAnsi="Times New Roman" w:cs="Times New Roman"/>
        </w:rPr>
      </w:pPr>
      <w:r w:rsidRPr="003E4FB8">
        <w:rPr>
          <w:rStyle w:val="FootnoteReference"/>
          <w:rFonts w:ascii="Times New Roman" w:hAnsi="Times New Roman" w:cs="Times New Roman"/>
        </w:rPr>
        <w:footnoteRef/>
      </w:r>
      <w:r w:rsidRPr="003E4FB8">
        <w:rPr>
          <w:rFonts w:ascii="Times New Roman" w:hAnsi="Times New Roman" w:cs="Times New Roman"/>
        </w:rPr>
        <w:t xml:space="preserve"> </w:t>
      </w:r>
      <w:r w:rsidRPr="00905281">
        <w:rPr>
          <w:rFonts w:ascii="Times New Roman" w:hAnsi="Times New Roman" w:cs="Times New Roman"/>
          <w:u w:val="single"/>
        </w:rPr>
        <w:t>See</w:t>
      </w:r>
      <w:r w:rsidRPr="003E4FB8">
        <w:rPr>
          <w:rFonts w:ascii="Times New Roman" w:hAnsi="Times New Roman" w:cs="Times New Roman"/>
        </w:rPr>
        <w:t xml:space="preserve">: (i) Menzie Chin and Jeffrey Frieden, </w:t>
      </w:r>
      <w:r w:rsidRPr="003E4FB8">
        <w:rPr>
          <w:rFonts w:ascii="Times New Roman" w:hAnsi="Times New Roman" w:cs="Times New Roman"/>
          <w:u w:val="single"/>
        </w:rPr>
        <w:t>Lost Decade: The Making of America’s Debt Crisis and the Long</w:t>
      </w:r>
      <w:r w:rsidRPr="003E4FB8">
        <w:rPr>
          <w:rFonts w:ascii="Times New Roman" w:hAnsi="Times New Roman" w:cs="Times New Roman"/>
        </w:rPr>
        <w:t xml:space="preserve"> </w:t>
      </w:r>
      <w:r w:rsidRPr="003E4FB8">
        <w:rPr>
          <w:rFonts w:ascii="Times New Roman" w:hAnsi="Times New Roman" w:cs="Times New Roman"/>
          <w:u w:val="single"/>
        </w:rPr>
        <w:t>Recovery</w:t>
      </w:r>
      <w:r w:rsidRPr="003E4FB8">
        <w:rPr>
          <w:rFonts w:ascii="Times New Roman" w:hAnsi="Times New Roman" w:cs="Times New Roman"/>
        </w:rPr>
        <w:t xml:space="preserve">, W.W.Norton and Company,2011; (ii) Carl Van Horn et al, </w:t>
      </w:r>
      <w:r w:rsidRPr="003E4FB8">
        <w:rPr>
          <w:rFonts w:ascii="Times New Roman" w:hAnsi="Times New Roman" w:cs="Times New Roman"/>
          <w:u w:val="single"/>
        </w:rPr>
        <w:t>Working Scared or Not Working at All: The Lost</w:t>
      </w:r>
      <w:r w:rsidRPr="003E4FB8">
        <w:rPr>
          <w:rFonts w:ascii="Times New Roman" w:hAnsi="Times New Roman" w:cs="Times New Roman"/>
        </w:rPr>
        <w:t xml:space="preserve"> </w:t>
      </w:r>
      <w:r w:rsidRPr="003E4FB8">
        <w:rPr>
          <w:rFonts w:ascii="Times New Roman" w:hAnsi="Times New Roman" w:cs="Times New Roman"/>
          <w:u w:val="single"/>
        </w:rPr>
        <w:t>Decade, Great Recession , and Restoring the American</w:t>
      </w:r>
      <w:r w:rsidRPr="003E4FB8">
        <w:rPr>
          <w:rFonts w:ascii="Times New Roman" w:hAnsi="Times New Roman" w:cs="Times New Roman"/>
        </w:rPr>
        <w:t xml:space="preserve"> </w:t>
      </w:r>
      <w:r w:rsidRPr="003E4FB8">
        <w:rPr>
          <w:rFonts w:ascii="Times New Roman" w:hAnsi="Times New Roman" w:cs="Times New Roman"/>
          <w:u w:val="single"/>
        </w:rPr>
        <w:t>Dream</w:t>
      </w:r>
      <w:r w:rsidRPr="003E4FB8">
        <w:rPr>
          <w:rFonts w:ascii="Times New Roman" w:hAnsi="Times New Roman" w:cs="Times New Roman"/>
        </w:rPr>
        <w:t>, Rowman and Little, New York, 2012.</w:t>
      </w:r>
    </w:p>
  </w:footnote>
  <w:footnote w:id="2">
    <w:p w:rsidR="00901178" w:rsidRPr="003E4FB8" w:rsidRDefault="00901178" w:rsidP="00901178">
      <w:pPr>
        <w:pStyle w:val="FootnoteText"/>
        <w:jc w:val="both"/>
        <w:rPr>
          <w:rFonts w:ascii="Times New Roman" w:hAnsi="Times New Roman" w:cs="Times New Roman"/>
        </w:rPr>
      </w:pPr>
      <w:r w:rsidRPr="003E4FB8">
        <w:rPr>
          <w:rStyle w:val="FootnoteReference"/>
          <w:rFonts w:ascii="Times New Roman" w:hAnsi="Times New Roman" w:cs="Times New Roman"/>
        </w:rPr>
        <w:footnoteRef/>
      </w:r>
      <w:r w:rsidRPr="003E4FB8">
        <w:rPr>
          <w:rFonts w:ascii="Times New Roman" w:hAnsi="Times New Roman" w:cs="Times New Roman"/>
        </w:rPr>
        <w:t xml:space="preserve"> For earlier findings on this Great Age Twist, see: (i)  Andrew Sum and Ishwar Khatiwada with Sheila Palma, “ The Age Twist in Employment Rates 2000-2004</w:t>
      </w:r>
      <w:r w:rsidRPr="003E4FB8">
        <w:rPr>
          <w:rFonts w:ascii="Times New Roman" w:hAnsi="Times New Roman" w:cs="Times New Roman"/>
          <w:u w:val="single"/>
        </w:rPr>
        <w:t>” Challenge</w:t>
      </w:r>
      <w:r w:rsidRPr="003E4FB8">
        <w:rPr>
          <w:rFonts w:ascii="Times New Roman" w:hAnsi="Times New Roman" w:cs="Times New Roman"/>
        </w:rPr>
        <w:t xml:space="preserve">, July-August 2005,pp.51-68; (ii) Andrew Sum, Ishwar Khatiwada and Mykhaylo Trubskyy, </w:t>
      </w:r>
      <w:r w:rsidRPr="003E4FB8">
        <w:rPr>
          <w:rFonts w:ascii="Times New Roman" w:hAnsi="Times New Roman" w:cs="Times New Roman"/>
          <w:u w:val="single"/>
        </w:rPr>
        <w:t>The Changing Labor Market Fortunes of Teens and Young Adults in the Nation’s 100 Largest Metropolitan Areas in the Lost Decade of 2000-2010</w:t>
      </w:r>
      <w:r w:rsidRPr="003E4FB8">
        <w:rPr>
          <w:rFonts w:ascii="Times New Roman" w:hAnsi="Times New Roman" w:cs="Times New Roman"/>
        </w:rPr>
        <w:t>, Report Prepared for the  Brookings Institution, Washington D.C., 2013.</w:t>
      </w:r>
    </w:p>
  </w:footnote>
  <w:footnote w:id="3">
    <w:p w:rsidR="00921DE1" w:rsidRDefault="00921DE1" w:rsidP="00921DE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u w:val="single"/>
        </w:rPr>
        <w:t>See:</w:t>
      </w:r>
      <w:r>
        <w:rPr>
          <w:rFonts w:ascii="Times New Roman" w:hAnsi="Times New Roman" w:cs="Times New Roman"/>
        </w:rPr>
        <w:t xml:space="preserve"> U.S. Department of Labor’s Bureau of Labor Statistics, </w:t>
      </w:r>
      <w:r>
        <w:rPr>
          <w:rFonts w:ascii="Times New Roman" w:hAnsi="Times New Roman" w:cs="Times New Roman"/>
          <w:u w:val="single"/>
        </w:rPr>
        <w:t>The Employment Situation: October 2013</w:t>
      </w:r>
      <w:r>
        <w:rPr>
          <w:rFonts w:ascii="Times New Roman" w:hAnsi="Times New Roman" w:cs="Times New Roman"/>
        </w:rPr>
        <w:t xml:space="preserve">, Washington, D.C., November 2013 or see the discussion of labor definitions on the BLS Website at </w:t>
      </w:r>
      <w:hyperlink r:id="rId1" w:history="1">
        <w:r w:rsidRPr="00206FBE">
          <w:rPr>
            <w:rStyle w:val="Hyperlink"/>
            <w:rFonts w:ascii="Times New Roman" w:hAnsi="Times New Roman" w:cs="Times New Roman"/>
          </w:rPr>
          <w:t>www.bls.gov</w:t>
        </w:r>
      </w:hyperlink>
    </w:p>
    <w:p w:rsidR="00921DE1" w:rsidRPr="00C20D42" w:rsidRDefault="00921DE1" w:rsidP="00921DE1">
      <w:pPr>
        <w:pStyle w:val="FootnoteText"/>
        <w:jc w:val="both"/>
        <w:rPr>
          <w:rFonts w:ascii="Times New Roman" w:hAnsi="Times New Roman" w:cs="Times New Roman"/>
        </w:rPr>
      </w:pPr>
    </w:p>
  </w:footnote>
  <w:footnote w:id="4">
    <w:p w:rsidR="001726D7" w:rsidRPr="00F0115A" w:rsidRDefault="001726D7" w:rsidP="00F0115A">
      <w:pPr>
        <w:pStyle w:val="FootnoteText"/>
        <w:jc w:val="both"/>
        <w:rPr>
          <w:rFonts w:ascii="Times New Roman" w:hAnsi="Times New Roman" w:cs="Times New Roman"/>
        </w:rPr>
      </w:pPr>
      <w:r w:rsidRPr="00F0115A">
        <w:rPr>
          <w:rStyle w:val="FootnoteReference"/>
          <w:rFonts w:ascii="Times New Roman" w:hAnsi="Times New Roman" w:cs="Times New Roman"/>
        </w:rPr>
        <w:footnoteRef/>
      </w:r>
      <w:r w:rsidRPr="00F0115A">
        <w:rPr>
          <w:rFonts w:ascii="Times New Roman" w:hAnsi="Times New Roman" w:cs="Times New Roman"/>
        </w:rPr>
        <w:t xml:space="preserve"> The term “jobless recovery” did not exist until the early 1990s when payroll job growth following the end of the 1990-91 recession tended to lag behind the output recovery. Similar developments occurred in the recovery from the 2001 national recession that ended in November 2001. Payroll job growth did not begin to rise steadily until the late summer of 2003.</w:t>
      </w:r>
    </w:p>
  </w:footnote>
  <w:footnote w:id="5">
    <w:p w:rsidR="001726D7" w:rsidRPr="00F0115A" w:rsidRDefault="001726D7" w:rsidP="00F0115A">
      <w:pPr>
        <w:pStyle w:val="FootnoteText"/>
        <w:jc w:val="both"/>
        <w:rPr>
          <w:rFonts w:ascii="Times New Roman" w:hAnsi="Times New Roman" w:cs="Times New Roman"/>
        </w:rPr>
      </w:pPr>
      <w:r w:rsidRPr="00F0115A">
        <w:rPr>
          <w:rStyle w:val="FootnoteReference"/>
          <w:rFonts w:ascii="Times New Roman" w:hAnsi="Times New Roman" w:cs="Times New Roman"/>
        </w:rPr>
        <w:footnoteRef/>
      </w:r>
      <w:r w:rsidRPr="00F0115A">
        <w:rPr>
          <w:rFonts w:ascii="Times New Roman" w:hAnsi="Times New Roman" w:cs="Times New Roman"/>
        </w:rPr>
        <w:t xml:space="preserve"> According to the findings of the National Bureau of Economic Research, the nation’s business cycle dating organization, the 2001 recession began in March of that year. </w:t>
      </w:r>
    </w:p>
    <w:p w:rsidR="001726D7" w:rsidRPr="00F0115A" w:rsidRDefault="001726D7" w:rsidP="00F0115A">
      <w:pPr>
        <w:pStyle w:val="FootnoteText"/>
        <w:jc w:val="both"/>
        <w:rPr>
          <w:rFonts w:ascii="Times New Roman" w:hAnsi="Times New Roman" w:cs="Times New Roman"/>
        </w:rPr>
      </w:pPr>
    </w:p>
  </w:footnote>
  <w:footnote w:id="6">
    <w:p w:rsidR="001726D7" w:rsidRPr="00284946" w:rsidRDefault="001726D7" w:rsidP="00284946">
      <w:pPr>
        <w:pStyle w:val="FootnoteText"/>
        <w:jc w:val="both"/>
        <w:rPr>
          <w:rFonts w:ascii="Times New Roman" w:hAnsi="Times New Roman" w:cs="Times New Roman"/>
        </w:rPr>
      </w:pPr>
      <w:r>
        <w:rPr>
          <w:rStyle w:val="FootnoteReference"/>
        </w:rPr>
        <w:footnoteRef/>
      </w:r>
      <w:r w:rsidRPr="00FF32F3">
        <w:rPr>
          <w:rFonts w:ascii="Times New Roman" w:hAnsi="Times New Roman" w:cs="Times New Roman"/>
          <w:u w:val="single"/>
        </w:rPr>
        <w:t>See</w:t>
      </w:r>
      <w:r>
        <w:rPr>
          <w:rFonts w:ascii="Times New Roman" w:hAnsi="Times New Roman" w:cs="Times New Roman"/>
        </w:rPr>
        <w:t xml:space="preserve">: Douglas J. Besharov (Editor), </w:t>
      </w:r>
      <w:r>
        <w:rPr>
          <w:rFonts w:ascii="Times New Roman" w:hAnsi="Times New Roman" w:cs="Times New Roman"/>
          <w:u w:val="single"/>
        </w:rPr>
        <w:t>Disconnected Youth: Toward A Preventive Strategy</w:t>
      </w:r>
      <w:r>
        <w:rPr>
          <w:rFonts w:ascii="Times New Roman" w:hAnsi="Times New Roman" w:cs="Times New Roman"/>
        </w:rPr>
        <w:t xml:space="preserve">, American Enterprise Institute Press, Washington, D.C., 1999; (ii) Clive R. Belfield, Henry M. Levin, and Rachel Rosen, </w:t>
      </w:r>
      <w:r>
        <w:rPr>
          <w:rFonts w:ascii="Times New Roman" w:hAnsi="Times New Roman" w:cs="Times New Roman"/>
          <w:u w:val="single"/>
        </w:rPr>
        <w:t>The Economic Value of Opportunity Youth</w:t>
      </w:r>
      <w:r>
        <w:rPr>
          <w:rFonts w:ascii="Times New Roman" w:hAnsi="Times New Roman" w:cs="Times New Roman"/>
        </w:rPr>
        <w:t>, Report Prepared for the Corporation for National and Community Service and the White House Council for Community Solutions, Washington, D.C., 2012.</w:t>
      </w:r>
      <w:r>
        <w:t xml:space="preserve"> </w:t>
      </w:r>
    </w:p>
  </w:footnote>
  <w:footnote w:id="7">
    <w:p w:rsidR="00422247" w:rsidRDefault="001726D7" w:rsidP="00422247">
      <w:pPr>
        <w:pStyle w:val="FootnoteText"/>
        <w:jc w:val="both"/>
      </w:pPr>
      <w:r w:rsidRPr="005B0DA7">
        <w:rPr>
          <w:rStyle w:val="FootnoteReference"/>
          <w:rFonts w:ascii="Times New Roman" w:hAnsi="Times New Roman" w:cs="Times New Roman"/>
        </w:rPr>
        <w:footnoteRef/>
      </w:r>
      <w:r w:rsidRPr="005B0DA7">
        <w:rPr>
          <w:rFonts w:ascii="Times New Roman" w:hAnsi="Times New Roman" w:cs="Times New Roman"/>
        </w:rPr>
        <w:t xml:space="preserve"> We excluded three countries that that recently joined the OECD organization in 2010. They were Estonia, Israel, and Slovakia. There was no teen employment data available for Slovenia in 2010, and the 2012 data for Israel were marked by an extraordinary large blip upward. For evidence on the problems of youth employment in OECD countries, </w:t>
      </w:r>
      <w:r w:rsidRPr="005B0DA7">
        <w:rPr>
          <w:rFonts w:ascii="Times New Roman" w:hAnsi="Times New Roman" w:cs="Times New Roman"/>
          <w:u w:val="single"/>
        </w:rPr>
        <w:t>see:</w:t>
      </w:r>
      <w:r w:rsidRPr="005B0DA7">
        <w:rPr>
          <w:rFonts w:ascii="Times New Roman" w:hAnsi="Times New Roman" w:cs="Times New Roman"/>
        </w:rPr>
        <w:t xml:space="preserve"> </w:t>
      </w:r>
      <w:r w:rsidR="00422247" w:rsidRPr="00901A49">
        <w:rPr>
          <w:rFonts w:ascii="Times New Roman" w:hAnsi="Times New Roman" w:cs="Times New Roman"/>
        </w:rPr>
        <w:t xml:space="preserve">See: (i) </w:t>
      </w:r>
      <w:r w:rsidR="00422247">
        <w:rPr>
          <w:rFonts w:ascii="Times New Roman" w:hAnsi="Times New Roman" w:cs="Times New Roman"/>
        </w:rPr>
        <w:t xml:space="preserve">Sarah D. Lorenzo, “EU Warns About Jobless Young”, </w:t>
      </w:r>
      <w:r w:rsidR="00422247" w:rsidRPr="008C3EAE">
        <w:rPr>
          <w:rFonts w:ascii="Times New Roman" w:hAnsi="Times New Roman" w:cs="Times New Roman"/>
          <w:u w:val="single"/>
        </w:rPr>
        <w:t>Boston Globe</w:t>
      </w:r>
      <w:r w:rsidR="00422247">
        <w:rPr>
          <w:rFonts w:ascii="Times New Roman" w:hAnsi="Times New Roman" w:cs="Times New Roman"/>
        </w:rPr>
        <w:t xml:space="preserve">, May 29, 2013, p.B-8; (ii) “Generation Jobless: Work and the Young”, </w:t>
      </w:r>
      <w:r w:rsidR="00422247">
        <w:rPr>
          <w:rFonts w:ascii="Times New Roman" w:hAnsi="Times New Roman" w:cs="Times New Roman"/>
          <w:u w:val="single"/>
        </w:rPr>
        <w:t>The Economist</w:t>
      </w:r>
      <w:r w:rsidR="00422247">
        <w:rPr>
          <w:rFonts w:ascii="Times New Roman" w:hAnsi="Times New Roman" w:cs="Times New Roman"/>
        </w:rPr>
        <w:t xml:space="preserve">, April 27-May 3, 2013, p. 12; (iii)  Juergen Baetz, “Obama Warns EU Over High Youth Unemployment”, </w:t>
      </w:r>
      <w:r w:rsidR="00422247">
        <w:rPr>
          <w:rFonts w:ascii="Times New Roman" w:hAnsi="Times New Roman" w:cs="Times New Roman"/>
          <w:u w:val="single"/>
        </w:rPr>
        <w:t>San Jose Mercury</w:t>
      </w:r>
      <w:r w:rsidR="00422247" w:rsidRPr="00940869">
        <w:rPr>
          <w:rFonts w:ascii="Times New Roman" w:hAnsi="Times New Roman" w:cs="Times New Roman"/>
          <w:u w:val="single"/>
        </w:rPr>
        <w:t xml:space="preserve"> News</w:t>
      </w:r>
      <w:r w:rsidR="00422247">
        <w:rPr>
          <w:rFonts w:ascii="Times New Roman" w:hAnsi="Times New Roman" w:cs="Times New Roman"/>
        </w:rPr>
        <w:t xml:space="preserve">, June 20, 2013; (iv) Stephen Faris, “Greece’s Unemployed Young: A Great Depression Steals the Nation’s Future”, </w:t>
      </w:r>
      <w:hyperlink r:id="rId2" w:history="1">
        <w:r w:rsidR="00422247" w:rsidRPr="00AC159B">
          <w:rPr>
            <w:rStyle w:val="Hyperlink"/>
            <w:rFonts w:ascii="Times New Roman" w:hAnsi="Times New Roman" w:cs="Times New Roman"/>
          </w:rPr>
          <w:t>www.businessweek.com</w:t>
        </w:r>
      </w:hyperlink>
      <w:r w:rsidR="00422247">
        <w:rPr>
          <w:rFonts w:ascii="Times New Roman" w:hAnsi="Times New Roman" w:cs="Times New Roman"/>
        </w:rPr>
        <w:t>, 7/8/2013;</w:t>
      </w:r>
    </w:p>
    <w:p w:rsidR="001726D7" w:rsidRDefault="00422247" w:rsidP="00422247">
      <w:pPr>
        <w:pStyle w:val="FootnoteText"/>
        <w:jc w:val="both"/>
      </w:pPr>
      <w:r>
        <w:rPr>
          <w:rFonts w:ascii="Times New Roman" w:hAnsi="Times New Roman" w:cs="Times New Roman"/>
        </w:rPr>
        <w:t xml:space="preserve"> (v) </w:t>
      </w:r>
      <w:r w:rsidRPr="00AA2951">
        <w:rPr>
          <w:rFonts w:ascii="Times New Roman" w:hAnsi="Times New Roman" w:cs="Times New Roman"/>
        </w:rPr>
        <w:t xml:space="preserve">Josh Sanburn, “Fewest Young Adults in 60 Years Have Jobs”, businesstime.com, February 2012; </w:t>
      </w:r>
      <w:r>
        <w:rPr>
          <w:rFonts w:ascii="Times New Roman" w:hAnsi="Times New Roman" w:cs="Times New Roman"/>
        </w:rPr>
        <w:t>(vi) Jeff Madrick, “The Anti-Economist: the Real Lost Generation”, Harper’s, December 2013, pp. 13-15.</w:t>
      </w:r>
      <w:r w:rsidR="001726D7" w:rsidRPr="005B0DA7">
        <w:rPr>
          <w:rFonts w:ascii="Times New Roman" w:hAnsi="Times New Roman" w:cs="Times New Roman"/>
        </w:rPr>
        <w:t xml:space="preserve">. </w:t>
      </w:r>
    </w:p>
  </w:footnote>
  <w:footnote w:id="8">
    <w:p w:rsidR="001726D7" w:rsidRPr="0073542D" w:rsidRDefault="001726D7" w:rsidP="00E5752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If Estonia and Israel had been included, the U.S. would have ranked 7</w:t>
      </w:r>
      <w:r w:rsidRPr="0073542D">
        <w:rPr>
          <w:rFonts w:ascii="Times New Roman" w:hAnsi="Times New Roman" w:cs="Times New Roman"/>
          <w:vertAlign w:val="superscript"/>
        </w:rPr>
        <w:t>th</w:t>
      </w:r>
      <w:r>
        <w:rPr>
          <w:rFonts w:ascii="Times New Roman" w:hAnsi="Times New Roman" w:cs="Times New Roman"/>
        </w:rPr>
        <w:t xml:space="preserve"> highest out of 33.</w:t>
      </w:r>
    </w:p>
  </w:footnote>
  <w:footnote w:id="9">
    <w:p w:rsidR="001726D7" w:rsidRPr="000151E4" w:rsidRDefault="001726D7" w:rsidP="000151E4">
      <w:pPr>
        <w:pStyle w:val="FootnoteText"/>
        <w:jc w:val="both"/>
        <w:rPr>
          <w:rFonts w:ascii="Times New Roman" w:hAnsi="Times New Roman" w:cs="Times New Roman"/>
        </w:rPr>
      </w:pPr>
      <w:r w:rsidRPr="000151E4">
        <w:rPr>
          <w:rStyle w:val="FootnoteReference"/>
          <w:rFonts w:ascii="Times New Roman" w:hAnsi="Times New Roman" w:cs="Times New Roman"/>
        </w:rPr>
        <w:footnoteRef/>
      </w:r>
      <w:r w:rsidRPr="000151E4">
        <w:rPr>
          <w:rFonts w:ascii="Times New Roman" w:hAnsi="Times New Roman" w:cs="Times New Roman"/>
        </w:rPr>
        <w:t xml:space="preserve"> See:  Andrew Sum, Joseph McLaughlin, and Ishwar Khatiwada, </w:t>
      </w:r>
      <w:r w:rsidRPr="000151E4">
        <w:rPr>
          <w:rFonts w:ascii="Times New Roman" w:hAnsi="Times New Roman" w:cs="Times New Roman"/>
          <w:u w:val="single"/>
        </w:rPr>
        <w:t>The Demise of the Teen Labor Market and the Industrial Restructuring of Teen Employment Opportunities in the U.S. and the Industrial Midwest</w:t>
      </w:r>
      <w:r w:rsidRPr="000151E4">
        <w:rPr>
          <w:rFonts w:ascii="Times New Roman" w:hAnsi="Times New Roman" w:cs="Times New Roman"/>
        </w:rPr>
        <w:t xml:space="preserve">, Report Prepared for the Mott Foundation, Flint, Michigan, 2009.  </w:t>
      </w:r>
    </w:p>
  </w:footnote>
  <w:footnote w:id="10">
    <w:p w:rsidR="001726D7" w:rsidRPr="00AD79A5" w:rsidRDefault="001726D7" w:rsidP="00D90059">
      <w:pPr>
        <w:spacing w:before="120"/>
        <w:jc w:val="both"/>
        <w:rPr>
          <w:rFonts w:ascii="Times New Roman" w:hAnsi="Times New Roman" w:cs="Times New Roman"/>
        </w:rPr>
      </w:pPr>
      <w:r>
        <w:rPr>
          <w:rStyle w:val="FootnoteReference"/>
        </w:rPr>
        <w:footnoteRef/>
      </w:r>
      <w:r>
        <w:t xml:space="preserve"> </w:t>
      </w:r>
      <w:r w:rsidRPr="00462DEB">
        <w:rPr>
          <w:rFonts w:ascii="Times New Roman" w:hAnsi="Times New Roman" w:cs="Times New Roman"/>
          <w:sz w:val="20"/>
          <w:szCs w:val="20"/>
        </w:rPr>
        <w:t xml:space="preserve">For evidence of path dependency in the employment behavior of teens and young adults (20-24) in the U.S. and Massachusetts, See: (i) Andrew Sum, Ishwar Khatiwada, and Mykhaylo Trubskyy, </w:t>
      </w:r>
      <w:r w:rsidRPr="00462DEB">
        <w:rPr>
          <w:rFonts w:ascii="Times New Roman" w:hAnsi="Times New Roman" w:cs="Times New Roman"/>
          <w:sz w:val="20"/>
          <w:szCs w:val="20"/>
          <w:u w:val="single"/>
        </w:rPr>
        <w:t>The Labor Market Behaviors and Problems of Teens and Young Adults in the Nation’s 100 Largest Metropolitan Areas During the Lost Decade of 2000-2010</w:t>
      </w:r>
      <w:r w:rsidRPr="00462DEB">
        <w:rPr>
          <w:rFonts w:ascii="Times New Roman" w:hAnsi="Times New Roman" w:cs="Times New Roman"/>
          <w:sz w:val="20"/>
          <w:szCs w:val="20"/>
        </w:rPr>
        <w:t xml:space="preserve">, Report Prepared for the Brookings Institution, Washington, D.C. 2013; (ii) Andrew Sum and Robert Taggart, </w:t>
      </w:r>
      <w:r w:rsidRPr="00462DEB">
        <w:rPr>
          <w:rFonts w:ascii="Times New Roman" w:hAnsi="Times New Roman" w:cs="Times New Roman"/>
          <w:sz w:val="20"/>
          <w:szCs w:val="20"/>
          <w:u w:val="single"/>
        </w:rPr>
        <w:t>The Employment Experiences of the Nation’s Teens and the Path Dependency Effects of Teen Employment</w:t>
      </w:r>
      <w:r w:rsidRPr="00462DEB">
        <w:rPr>
          <w:rFonts w:ascii="Times New Roman" w:hAnsi="Times New Roman" w:cs="Times New Roman"/>
          <w:sz w:val="20"/>
          <w:szCs w:val="20"/>
        </w:rPr>
        <w:t xml:space="preserve">, Paper Prepared for the U.S. Conference of Mayors, Washington, D.C., 2009; (iii) Andrew Sum, Joseph McLaughlin, and Ishwar Khatiwada, </w:t>
      </w:r>
      <w:r w:rsidRPr="00462DEB">
        <w:rPr>
          <w:rFonts w:ascii="Times New Roman" w:hAnsi="Times New Roman" w:cs="Times New Roman"/>
          <w:sz w:val="20"/>
          <w:szCs w:val="20"/>
          <w:u w:val="single"/>
        </w:rPr>
        <w:t>The</w:t>
      </w:r>
      <w:r>
        <w:rPr>
          <w:rFonts w:ascii="Times New Roman" w:hAnsi="Times New Roman" w:cs="Times New Roman"/>
          <w:sz w:val="20"/>
          <w:szCs w:val="20"/>
          <w:u w:val="single"/>
        </w:rPr>
        <w:t xml:space="preserve"> Labor Market  and Social Status</w:t>
      </w:r>
      <w:r w:rsidRPr="00462DEB">
        <w:rPr>
          <w:rFonts w:ascii="Times New Roman" w:hAnsi="Times New Roman" w:cs="Times New Roman"/>
          <w:sz w:val="20"/>
          <w:szCs w:val="20"/>
          <w:u w:val="single"/>
        </w:rPr>
        <w:t xml:space="preserve"> of </w:t>
      </w:r>
      <w:r>
        <w:rPr>
          <w:rFonts w:ascii="Times New Roman" w:hAnsi="Times New Roman" w:cs="Times New Roman"/>
          <w:sz w:val="20"/>
          <w:szCs w:val="20"/>
          <w:u w:val="single"/>
        </w:rPr>
        <w:t xml:space="preserve">Teens and Young Adults (16-24) </w:t>
      </w:r>
      <w:r w:rsidRPr="00462DEB">
        <w:rPr>
          <w:rFonts w:ascii="Times New Roman" w:hAnsi="Times New Roman" w:cs="Times New Roman"/>
          <w:sz w:val="20"/>
          <w:szCs w:val="20"/>
          <w:u w:val="single"/>
        </w:rPr>
        <w:t xml:space="preserve">in Massachusetts and their Implications for </w:t>
      </w:r>
      <w:r>
        <w:rPr>
          <w:rFonts w:ascii="Times New Roman" w:hAnsi="Times New Roman" w:cs="Times New Roman"/>
          <w:sz w:val="20"/>
          <w:szCs w:val="20"/>
          <w:u w:val="single"/>
        </w:rPr>
        <w:t xml:space="preserve">the State and Local </w:t>
      </w:r>
      <w:r w:rsidRPr="00462DEB">
        <w:rPr>
          <w:rFonts w:ascii="Times New Roman" w:hAnsi="Times New Roman" w:cs="Times New Roman"/>
          <w:sz w:val="20"/>
          <w:szCs w:val="20"/>
          <w:u w:val="single"/>
        </w:rPr>
        <w:t xml:space="preserve">Youth Development </w:t>
      </w:r>
      <w:r>
        <w:rPr>
          <w:rFonts w:ascii="Times New Roman" w:hAnsi="Times New Roman" w:cs="Times New Roman"/>
          <w:sz w:val="20"/>
          <w:szCs w:val="20"/>
          <w:u w:val="single"/>
        </w:rPr>
        <w:t>Systems</w:t>
      </w:r>
      <w:r w:rsidRPr="00462DEB">
        <w:rPr>
          <w:rFonts w:ascii="Times New Roman" w:hAnsi="Times New Roman" w:cs="Times New Roman"/>
          <w:sz w:val="20"/>
          <w:szCs w:val="20"/>
          <w:u w:val="single"/>
        </w:rPr>
        <w:t>,</w:t>
      </w:r>
      <w:r w:rsidRPr="00462DEB">
        <w:rPr>
          <w:rFonts w:ascii="Times New Roman" w:hAnsi="Times New Roman" w:cs="Times New Roman"/>
          <w:sz w:val="20"/>
          <w:szCs w:val="20"/>
        </w:rPr>
        <w:t xml:space="preserve"> Report Prepared for the Commonwealth Corporation, Boston, 200</w:t>
      </w:r>
      <w:r>
        <w:rPr>
          <w:rFonts w:ascii="Times New Roman" w:hAnsi="Times New Roman" w:cs="Times New Roman"/>
          <w:sz w:val="20"/>
          <w:szCs w:val="20"/>
        </w:rPr>
        <w:t>9</w:t>
      </w:r>
      <w:r w:rsidRPr="00462DEB">
        <w:rPr>
          <w:rFonts w:ascii="Times New Roman" w:hAnsi="Times New Roman" w:cs="Times New Roman"/>
          <w:sz w:val="20"/>
          <w:szCs w:val="20"/>
        </w:rPr>
        <w:t>.</w:t>
      </w:r>
    </w:p>
  </w:footnote>
  <w:footnote w:id="11">
    <w:p w:rsidR="001726D7" w:rsidRPr="00462DEB" w:rsidRDefault="001726D7" w:rsidP="00462DEB">
      <w:pPr>
        <w:pStyle w:val="FootnoteText"/>
        <w:jc w:val="both"/>
        <w:rPr>
          <w:rFonts w:ascii="Times New Roman" w:hAnsi="Times New Roman" w:cs="Times New Roman"/>
        </w:rPr>
      </w:pPr>
      <w:r w:rsidRPr="00462DEB">
        <w:rPr>
          <w:rStyle w:val="FootnoteReference"/>
          <w:rFonts w:ascii="Times New Roman" w:hAnsi="Times New Roman" w:cs="Times New Roman"/>
        </w:rPr>
        <w:footnoteRef/>
      </w:r>
      <w:r w:rsidRPr="00462DEB">
        <w:rPr>
          <w:rFonts w:ascii="Times New Roman" w:hAnsi="Times New Roman" w:cs="Times New Roman"/>
        </w:rPr>
        <w:t xml:space="preserve"> In fact, both coefficients were statistically significant at the .001 level.</w:t>
      </w:r>
    </w:p>
  </w:footnote>
  <w:footnote w:id="12">
    <w:p w:rsidR="00D82FE5" w:rsidRPr="00D919D6" w:rsidRDefault="00D82FE5" w:rsidP="00D82FE5">
      <w:pPr>
        <w:spacing w:before="120"/>
        <w:jc w:val="both"/>
        <w:rPr>
          <w:rFonts w:ascii="Times New Roman" w:hAnsi="Times New Roman" w:cs="Times New Roman"/>
          <w:sz w:val="20"/>
          <w:szCs w:val="20"/>
        </w:rPr>
      </w:pPr>
      <w:r>
        <w:rPr>
          <w:rStyle w:val="FootnoteReference"/>
        </w:rPr>
        <w:footnoteRef/>
      </w:r>
      <w:r>
        <w:t xml:space="preserve"> </w:t>
      </w:r>
      <w:r w:rsidRPr="0047072D">
        <w:rPr>
          <w:rFonts w:ascii="Times New Roman" w:hAnsi="Times New Roman" w:cs="Times New Roman"/>
          <w:sz w:val="20"/>
          <w:szCs w:val="20"/>
          <w:u w:val="single"/>
        </w:rPr>
        <w:t>See</w:t>
      </w:r>
      <w:r w:rsidRPr="00D919D6">
        <w:rPr>
          <w:rFonts w:ascii="Times New Roman" w:hAnsi="Times New Roman" w:cs="Times New Roman"/>
          <w:sz w:val="20"/>
          <w:szCs w:val="20"/>
        </w:rPr>
        <w:t xml:space="preserve">: (i) Sarah Ayres, </w:t>
      </w:r>
      <w:r w:rsidRPr="00D919D6">
        <w:rPr>
          <w:rFonts w:ascii="Times New Roman" w:hAnsi="Times New Roman" w:cs="Times New Roman"/>
          <w:sz w:val="20"/>
          <w:szCs w:val="20"/>
          <w:u w:val="single"/>
        </w:rPr>
        <w:t>The High Cost of Youth Unemployment</w:t>
      </w:r>
      <w:r w:rsidRPr="00D919D6">
        <w:rPr>
          <w:rFonts w:ascii="Times New Roman" w:hAnsi="Times New Roman" w:cs="Times New Roman"/>
          <w:i/>
          <w:sz w:val="20"/>
          <w:szCs w:val="20"/>
        </w:rPr>
        <w:t xml:space="preserve">, </w:t>
      </w:r>
      <w:r w:rsidRPr="00D919D6">
        <w:rPr>
          <w:rFonts w:ascii="Times New Roman" w:hAnsi="Times New Roman" w:cs="Times New Roman"/>
          <w:sz w:val="20"/>
          <w:szCs w:val="20"/>
        </w:rPr>
        <w:t xml:space="preserve">Center for American Progress, Washington, D.C., April 2013; (ii) Marta Tienda, Avner Ahituv, et al., “Employment and Wage Prospects of Black, Hispanic, and White Women” in </w:t>
      </w:r>
      <w:r w:rsidRPr="00D919D6">
        <w:rPr>
          <w:rFonts w:ascii="Times New Roman" w:hAnsi="Times New Roman" w:cs="Times New Roman"/>
          <w:sz w:val="20"/>
          <w:szCs w:val="20"/>
          <w:u w:val="single"/>
        </w:rPr>
        <w:t>Human Resource Economics and Public Policy</w:t>
      </w:r>
      <w:r w:rsidRPr="00D919D6">
        <w:rPr>
          <w:rFonts w:ascii="Times New Roman" w:hAnsi="Times New Roman" w:cs="Times New Roman"/>
          <w:sz w:val="20"/>
          <w:szCs w:val="20"/>
        </w:rPr>
        <w:t xml:space="preserve">, Essays in Honor of Vernon Briggs, W.E. Upjohn Institute for Employment Research, Kalamazoo, 2010; (iii) Francine D. Blau and Lawrence M. Kahn, “The Feasibility and Importance of Adding Measures of Actual Experience to Cross-Sectional Data Collection,” </w:t>
      </w:r>
      <w:r w:rsidRPr="00D919D6">
        <w:rPr>
          <w:rFonts w:ascii="Times New Roman" w:hAnsi="Times New Roman" w:cs="Times New Roman"/>
          <w:sz w:val="20"/>
          <w:szCs w:val="20"/>
          <w:u w:val="single"/>
        </w:rPr>
        <w:t>Journal of Labor Economics</w:t>
      </w:r>
      <w:r w:rsidRPr="00D919D6">
        <w:rPr>
          <w:rFonts w:ascii="Times New Roman" w:hAnsi="Times New Roman" w:cs="Times New Roman"/>
          <w:sz w:val="20"/>
          <w:szCs w:val="20"/>
        </w:rPr>
        <w:t>, Volume 3, Num</w:t>
      </w:r>
      <w:r>
        <w:rPr>
          <w:rFonts w:ascii="Times New Roman" w:hAnsi="Times New Roman" w:cs="Times New Roman"/>
          <w:sz w:val="20"/>
          <w:szCs w:val="20"/>
        </w:rPr>
        <w:t>ber</w:t>
      </w:r>
      <w:r w:rsidRPr="00D919D6">
        <w:rPr>
          <w:rFonts w:ascii="Times New Roman" w:hAnsi="Times New Roman" w:cs="Times New Roman"/>
          <w:sz w:val="20"/>
          <w:szCs w:val="20"/>
        </w:rPr>
        <w:t xml:space="preserve"> 2, </w:t>
      </w:r>
      <w:r>
        <w:rPr>
          <w:rFonts w:ascii="Times New Roman" w:hAnsi="Times New Roman" w:cs="Times New Roman"/>
          <w:sz w:val="20"/>
          <w:szCs w:val="20"/>
        </w:rPr>
        <w:t xml:space="preserve">Part 2, pp. S17-S58, April 2013; </w:t>
      </w:r>
      <w:r>
        <w:rPr>
          <w:rFonts w:ascii="Times New Roman" w:hAnsi="Times New Roman" w:cs="Times New Roman"/>
        </w:rPr>
        <w:t xml:space="preserve">(iv) </w:t>
      </w:r>
      <w:r w:rsidRPr="00AA2951">
        <w:rPr>
          <w:rFonts w:ascii="Times New Roman" w:hAnsi="Times New Roman" w:cs="Times New Roman"/>
        </w:rPr>
        <w:t xml:space="preserve">Josh Sanburn, “Fewest Young Adults in 60 Years Have Jobs”, businesstime.com, Febrary 2012; </w:t>
      </w:r>
      <w:r>
        <w:rPr>
          <w:rFonts w:ascii="Times New Roman" w:hAnsi="Times New Roman" w:cs="Times New Roman"/>
        </w:rPr>
        <w:t>(v) Jeff Madrick, “The Anti-Economist: the Real Lost Generation”, Harper’s, December 2013, pp. 13-15.</w:t>
      </w:r>
      <w:r w:rsidRPr="00D919D6">
        <w:rPr>
          <w:rFonts w:ascii="Times New Roman" w:hAnsi="Times New Roman" w:cs="Times New Roman"/>
          <w:sz w:val="20"/>
          <w:szCs w:val="20"/>
        </w:rPr>
        <w:t xml:space="preserve">  </w:t>
      </w:r>
    </w:p>
    <w:p w:rsidR="00D82FE5" w:rsidRDefault="00D82FE5" w:rsidP="00D82FE5">
      <w:pPr>
        <w:pStyle w:val="FootnoteText"/>
      </w:pPr>
      <w:r w:rsidRPr="00462DEB">
        <w:rPr>
          <w:rFonts w:ascii="Times New Roman" w:hAnsi="Times New Roman" w:cs="Times New Roman"/>
        </w:rPr>
        <w:t>past.</w:t>
      </w:r>
      <w:r w:rsidRPr="00462DEB">
        <w:rPr>
          <w:rStyle w:val="FootnoteReference"/>
          <w:rFonts w:ascii="Times New Roman" w:hAnsi="Times New Roman" w:cs="Times New Roman"/>
        </w:rPr>
        <w:footnoteRef/>
      </w:r>
      <w:r w:rsidRPr="00462DEB">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D7" w:rsidRDefault="0017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D7" w:rsidRDefault="00172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D7" w:rsidRDefault="00172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1C23"/>
    <w:multiLevelType w:val="hybridMultilevel"/>
    <w:tmpl w:val="4F3C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0A"/>
    <w:rsid w:val="0000178B"/>
    <w:rsid w:val="000028F0"/>
    <w:rsid w:val="000107B8"/>
    <w:rsid w:val="00012F2A"/>
    <w:rsid w:val="000151E4"/>
    <w:rsid w:val="000200C4"/>
    <w:rsid w:val="00020C08"/>
    <w:rsid w:val="00024A79"/>
    <w:rsid w:val="000310E2"/>
    <w:rsid w:val="00031A78"/>
    <w:rsid w:val="00032D0C"/>
    <w:rsid w:val="000372F8"/>
    <w:rsid w:val="00043CF0"/>
    <w:rsid w:val="00044E83"/>
    <w:rsid w:val="00051ECE"/>
    <w:rsid w:val="000527C0"/>
    <w:rsid w:val="00053860"/>
    <w:rsid w:val="00066DD6"/>
    <w:rsid w:val="0007194A"/>
    <w:rsid w:val="00077B50"/>
    <w:rsid w:val="00080E28"/>
    <w:rsid w:val="000843EE"/>
    <w:rsid w:val="00087165"/>
    <w:rsid w:val="000C2F7F"/>
    <w:rsid w:val="000C3A0A"/>
    <w:rsid w:val="000D4D23"/>
    <w:rsid w:val="000E07A8"/>
    <w:rsid w:val="000E3C60"/>
    <w:rsid w:val="000F4B1F"/>
    <w:rsid w:val="00107030"/>
    <w:rsid w:val="001140DE"/>
    <w:rsid w:val="001226DB"/>
    <w:rsid w:val="001276CE"/>
    <w:rsid w:val="00131496"/>
    <w:rsid w:val="00152AC1"/>
    <w:rsid w:val="001601F5"/>
    <w:rsid w:val="00167116"/>
    <w:rsid w:val="001726D7"/>
    <w:rsid w:val="00182A95"/>
    <w:rsid w:val="001A0246"/>
    <w:rsid w:val="001A1F69"/>
    <w:rsid w:val="001A378B"/>
    <w:rsid w:val="001A6B56"/>
    <w:rsid w:val="001B1AE7"/>
    <w:rsid w:val="001C23AA"/>
    <w:rsid w:val="001C41EE"/>
    <w:rsid w:val="001D589B"/>
    <w:rsid w:val="001D634F"/>
    <w:rsid w:val="001D7894"/>
    <w:rsid w:val="001E0CA5"/>
    <w:rsid w:val="001F0E6A"/>
    <w:rsid w:val="00213B7B"/>
    <w:rsid w:val="00215F14"/>
    <w:rsid w:val="0022193D"/>
    <w:rsid w:val="00222207"/>
    <w:rsid w:val="0022322B"/>
    <w:rsid w:val="002239E9"/>
    <w:rsid w:val="002273EA"/>
    <w:rsid w:val="00231DC3"/>
    <w:rsid w:val="00234C98"/>
    <w:rsid w:val="002479DE"/>
    <w:rsid w:val="0025650E"/>
    <w:rsid w:val="00267439"/>
    <w:rsid w:val="00284946"/>
    <w:rsid w:val="002853B3"/>
    <w:rsid w:val="002873F9"/>
    <w:rsid w:val="002961F2"/>
    <w:rsid w:val="002A16E0"/>
    <w:rsid w:val="002B3D36"/>
    <w:rsid w:val="002B5532"/>
    <w:rsid w:val="002D1D0B"/>
    <w:rsid w:val="002D25A8"/>
    <w:rsid w:val="00301E6E"/>
    <w:rsid w:val="003053F0"/>
    <w:rsid w:val="00320569"/>
    <w:rsid w:val="00320EF4"/>
    <w:rsid w:val="00330CE1"/>
    <w:rsid w:val="00333D4D"/>
    <w:rsid w:val="00336231"/>
    <w:rsid w:val="0035608F"/>
    <w:rsid w:val="00370426"/>
    <w:rsid w:val="0037352B"/>
    <w:rsid w:val="003741E4"/>
    <w:rsid w:val="00384281"/>
    <w:rsid w:val="0039191A"/>
    <w:rsid w:val="003A1C51"/>
    <w:rsid w:val="003A2F9A"/>
    <w:rsid w:val="003B08CC"/>
    <w:rsid w:val="003E5362"/>
    <w:rsid w:val="003E570D"/>
    <w:rsid w:val="004162BC"/>
    <w:rsid w:val="00422247"/>
    <w:rsid w:val="00425F4D"/>
    <w:rsid w:val="00430119"/>
    <w:rsid w:val="00433273"/>
    <w:rsid w:val="004462FF"/>
    <w:rsid w:val="00446F1D"/>
    <w:rsid w:val="0045032B"/>
    <w:rsid w:val="004510E0"/>
    <w:rsid w:val="0045267E"/>
    <w:rsid w:val="00457A92"/>
    <w:rsid w:val="00462DEB"/>
    <w:rsid w:val="004639B8"/>
    <w:rsid w:val="0047072D"/>
    <w:rsid w:val="00481DC0"/>
    <w:rsid w:val="00482F5B"/>
    <w:rsid w:val="00483CAF"/>
    <w:rsid w:val="0048556B"/>
    <w:rsid w:val="0049317E"/>
    <w:rsid w:val="004A08C7"/>
    <w:rsid w:val="004B37BC"/>
    <w:rsid w:val="004B5637"/>
    <w:rsid w:val="004B7291"/>
    <w:rsid w:val="004B79A4"/>
    <w:rsid w:val="004C0DD7"/>
    <w:rsid w:val="004C2C1F"/>
    <w:rsid w:val="004D0E64"/>
    <w:rsid w:val="004D6871"/>
    <w:rsid w:val="004D7463"/>
    <w:rsid w:val="004F6052"/>
    <w:rsid w:val="004F7D7B"/>
    <w:rsid w:val="00504C95"/>
    <w:rsid w:val="005108B7"/>
    <w:rsid w:val="00520648"/>
    <w:rsid w:val="0052382B"/>
    <w:rsid w:val="0052384A"/>
    <w:rsid w:val="00525469"/>
    <w:rsid w:val="005344DA"/>
    <w:rsid w:val="005440A4"/>
    <w:rsid w:val="00545C1C"/>
    <w:rsid w:val="005524CA"/>
    <w:rsid w:val="00565633"/>
    <w:rsid w:val="005710AE"/>
    <w:rsid w:val="005974BF"/>
    <w:rsid w:val="005B0DA7"/>
    <w:rsid w:val="005B2BFE"/>
    <w:rsid w:val="005B4A35"/>
    <w:rsid w:val="005C6630"/>
    <w:rsid w:val="005D21DD"/>
    <w:rsid w:val="005D73FB"/>
    <w:rsid w:val="005E0509"/>
    <w:rsid w:val="005F5397"/>
    <w:rsid w:val="005F5916"/>
    <w:rsid w:val="005F609B"/>
    <w:rsid w:val="00601611"/>
    <w:rsid w:val="006020C8"/>
    <w:rsid w:val="006044C8"/>
    <w:rsid w:val="006123CD"/>
    <w:rsid w:val="006157DD"/>
    <w:rsid w:val="00620285"/>
    <w:rsid w:val="0062220A"/>
    <w:rsid w:val="00622475"/>
    <w:rsid w:val="00632A45"/>
    <w:rsid w:val="00633F73"/>
    <w:rsid w:val="00635602"/>
    <w:rsid w:val="00647B4E"/>
    <w:rsid w:val="00666C82"/>
    <w:rsid w:val="00670779"/>
    <w:rsid w:val="006732AC"/>
    <w:rsid w:val="00677E21"/>
    <w:rsid w:val="006849EC"/>
    <w:rsid w:val="00685D2A"/>
    <w:rsid w:val="0069740E"/>
    <w:rsid w:val="006A312F"/>
    <w:rsid w:val="006B1FCB"/>
    <w:rsid w:val="006B72D3"/>
    <w:rsid w:val="006C5CCF"/>
    <w:rsid w:val="006D4EBF"/>
    <w:rsid w:val="006D5DBF"/>
    <w:rsid w:val="006D7967"/>
    <w:rsid w:val="006E044A"/>
    <w:rsid w:val="006E0F65"/>
    <w:rsid w:val="006E4575"/>
    <w:rsid w:val="006E7C29"/>
    <w:rsid w:val="006F2AFC"/>
    <w:rsid w:val="006F482A"/>
    <w:rsid w:val="0070003C"/>
    <w:rsid w:val="00703500"/>
    <w:rsid w:val="00717134"/>
    <w:rsid w:val="007225C3"/>
    <w:rsid w:val="0073190C"/>
    <w:rsid w:val="0073542D"/>
    <w:rsid w:val="00736AE4"/>
    <w:rsid w:val="00736F91"/>
    <w:rsid w:val="0074269E"/>
    <w:rsid w:val="007513E6"/>
    <w:rsid w:val="00763660"/>
    <w:rsid w:val="0076385C"/>
    <w:rsid w:val="00763CFF"/>
    <w:rsid w:val="0077433F"/>
    <w:rsid w:val="00780072"/>
    <w:rsid w:val="0078065D"/>
    <w:rsid w:val="00781286"/>
    <w:rsid w:val="007846DB"/>
    <w:rsid w:val="0079564F"/>
    <w:rsid w:val="00795666"/>
    <w:rsid w:val="0079740F"/>
    <w:rsid w:val="007A37D0"/>
    <w:rsid w:val="007A5468"/>
    <w:rsid w:val="007A5D77"/>
    <w:rsid w:val="007A6CEE"/>
    <w:rsid w:val="007C0849"/>
    <w:rsid w:val="007C2950"/>
    <w:rsid w:val="007E3619"/>
    <w:rsid w:val="007F32DB"/>
    <w:rsid w:val="00805618"/>
    <w:rsid w:val="00807D53"/>
    <w:rsid w:val="00853965"/>
    <w:rsid w:val="00854616"/>
    <w:rsid w:val="00855291"/>
    <w:rsid w:val="00857AB7"/>
    <w:rsid w:val="008613D2"/>
    <w:rsid w:val="008717B9"/>
    <w:rsid w:val="0087305A"/>
    <w:rsid w:val="00873AA4"/>
    <w:rsid w:val="00877DD2"/>
    <w:rsid w:val="00886800"/>
    <w:rsid w:val="008904F7"/>
    <w:rsid w:val="008957BF"/>
    <w:rsid w:val="00897021"/>
    <w:rsid w:val="008A4693"/>
    <w:rsid w:val="008A69F5"/>
    <w:rsid w:val="008B5AB5"/>
    <w:rsid w:val="008B7E6E"/>
    <w:rsid w:val="008C2533"/>
    <w:rsid w:val="008C2D2D"/>
    <w:rsid w:val="008C3EAE"/>
    <w:rsid w:val="008C6386"/>
    <w:rsid w:val="008D072A"/>
    <w:rsid w:val="008D66DE"/>
    <w:rsid w:val="008E1BC5"/>
    <w:rsid w:val="008E2BD2"/>
    <w:rsid w:val="008E2F7D"/>
    <w:rsid w:val="008F3214"/>
    <w:rsid w:val="00901178"/>
    <w:rsid w:val="00905281"/>
    <w:rsid w:val="00910B55"/>
    <w:rsid w:val="00910DDA"/>
    <w:rsid w:val="00910F34"/>
    <w:rsid w:val="00912255"/>
    <w:rsid w:val="00915BAE"/>
    <w:rsid w:val="0091656F"/>
    <w:rsid w:val="009217DA"/>
    <w:rsid w:val="00921DE1"/>
    <w:rsid w:val="00927762"/>
    <w:rsid w:val="0093203E"/>
    <w:rsid w:val="00940869"/>
    <w:rsid w:val="009509A0"/>
    <w:rsid w:val="00952C18"/>
    <w:rsid w:val="009610C0"/>
    <w:rsid w:val="0096636C"/>
    <w:rsid w:val="009673B6"/>
    <w:rsid w:val="00980538"/>
    <w:rsid w:val="00985E71"/>
    <w:rsid w:val="00994102"/>
    <w:rsid w:val="009A371D"/>
    <w:rsid w:val="009A73C7"/>
    <w:rsid w:val="009B05EF"/>
    <w:rsid w:val="009E552F"/>
    <w:rsid w:val="00A05AE8"/>
    <w:rsid w:val="00A10809"/>
    <w:rsid w:val="00A270E8"/>
    <w:rsid w:val="00A34CF8"/>
    <w:rsid w:val="00A41FD2"/>
    <w:rsid w:val="00A56013"/>
    <w:rsid w:val="00A640BC"/>
    <w:rsid w:val="00A8345B"/>
    <w:rsid w:val="00A84EF2"/>
    <w:rsid w:val="00A851A2"/>
    <w:rsid w:val="00A874D7"/>
    <w:rsid w:val="00A90FCA"/>
    <w:rsid w:val="00A94F0F"/>
    <w:rsid w:val="00A96733"/>
    <w:rsid w:val="00AA1CE4"/>
    <w:rsid w:val="00AA2951"/>
    <w:rsid w:val="00AA30C2"/>
    <w:rsid w:val="00AA40B8"/>
    <w:rsid w:val="00AB3E87"/>
    <w:rsid w:val="00AD79A5"/>
    <w:rsid w:val="00AE0F08"/>
    <w:rsid w:val="00AE1BB9"/>
    <w:rsid w:val="00AE4C7C"/>
    <w:rsid w:val="00B00448"/>
    <w:rsid w:val="00B04778"/>
    <w:rsid w:val="00B06BFE"/>
    <w:rsid w:val="00B17293"/>
    <w:rsid w:val="00B21C2B"/>
    <w:rsid w:val="00B24CBF"/>
    <w:rsid w:val="00B30212"/>
    <w:rsid w:val="00B32561"/>
    <w:rsid w:val="00B34DBF"/>
    <w:rsid w:val="00B378B6"/>
    <w:rsid w:val="00B4586D"/>
    <w:rsid w:val="00B46252"/>
    <w:rsid w:val="00B5725B"/>
    <w:rsid w:val="00B612AF"/>
    <w:rsid w:val="00B965AB"/>
    <w:rsid w:val="00BA3C4D"/>
    <w:rsid w:val="00BB10F7"/>
    <w:rsid w:val="00BB19AE"/>
    <w:rsid w:val="00BB53C9"/>
    <w:rsid w:val="00BD2810"/>
    <w:rsid w:val="00BD5651"/>
    <w:rsid w:val="00BE2351"/>
    <w:rsid w:val="00BE38E7"/>
    <w:rsid w:val="00BE6C8D"/>
    <w:rsid w:val="00C1608F"/>
    <w:rsid w:val="00C17519"/>
    <w:rsid w:val="00C20928"/>
    <w:rsid w:val="00C20D42"/>
    <w:rsid w:val="00C35F6E"/>
    <w:rsid w:val="00C36383"/>
    <w:rsid w:val="00C4270F"/>
    <w:rsid w:val="00C5472F"/>
    <w:rsid w:val="00C558E0"/>
    <w:rsid w:val="00C60E49"/>
    <w:rsid w:val="00C615CF"/>
    <w:rsid w:val="00C632ED"/>
    <w:rsid w:val="00C77E24"/>
    <w:rsid w:val="00C80966"/>
    <w:rsid w:val="00C82D21"/>
    <w:rsid w:val="00C90827"/>
    <w:rsid w:val="00C945F6"/>
    <w:rsid w:val="00C97984"/>
    <w:rsid w:val="00CA5745"/>
    <w:rsid w:val="00CB6BDA"/>
    <w:rsid w:val="00CC07EB"/>
    <w:rsid w:val="00CC30AC"/>
    <w:rsid w:val="00CC54A9"/>
    <w:rsid w:val="00CD586D"/>
    <w:rsid w:val="00CD78A7"/>
    <w:rsid w:val="00CE060C"/>
    <w:rsid w:val="00CF38DC"/>
    <w:rsid w:val="00D061DE"/>
    <w:rsid w:val="00D10676"/>
    <w:rsid w:val="00D12303"/>
    <w:rsid w:val="00D14E75"/>
    <w:rsid w:val="00D17458"/>
    <w:rsid w:val="00D23150"/>
    <w:rsid w:val="00D25E82"/>
    <w:rsid w:val="00D337F8"/>
    <w:rsid w:val="00D45A33"/>
    <w:rsid w:val="00D54792"/>
    <w:rsid w:val="00D63201"/>
    <w:rsid w:val="00D73919"/>
    <w:rsid w:val="00D817D3"/>
    <w:rsid w:val="00D82FE5"/>
    <w:rsid w:val="00D850C9"/>
    <w:rsid w:val="00D90059"/>
    <w:rsid w:val="00D919D6"/>
    <w:rsid w:val="00DA5DA4"/>
    <w:rsid w:val="00DB0770"/>
    <w:rsid w:val="00DB6589"/>
    <w:rsid w:val="00DD19F2"/>
    <w:rsid w:val="00DE2850"/>
    <w:rsid w:val="00DF726F"/>
    <w:rsid w:val="00E058F2"/>
    <w:rsid w:val="00E257AA"/>
    <w:rsid w:val="00E27ECF"/>
    <w:rsid w:val="00E335A6"/>
    <w:rsid w:val="00E34EBB"/>
    <w:rsid w:val="00E41A64"/>
    <w:rsid w:val="00E46F4C"/>
    <w:rsid w:val="00E534EA"/>
    <w:rsid w:val="00E57529"/>
    <w:rsid w:val="00E57D48"/>
    <w:rsid w:val="00E70DC6"/>
    <w:rsid w:val="00E71CAE"/>
    <w:rsid w:val="00E75059"/>
    <w:rsid w:val="00E76D42"/>
    <w:rsid w:val="00E82B7F"/>
    <w:rsid w:val="00E85C56"/>
    <w:rsid w:val="00E914F0"/>
    <w:rsid w:val="00E957F3"/>
    <w:rsid w:val="00EA1B78"/>
    <w:rsid w:val="00EA2F21"/>
    <w:rsid w:val="00EB0C13"/>
    <w:rsid w:val="00EB3A72"/>
    <w:rsid w:val="00EB55F3"/>
    <w:rsid w:val="00EB5D42"/>
    <w:rsid w:val="00EC0B60"/>
    <w:rsid w:val="00ED0F82"/>
    <w:rsid w:val="00ED6744"/>
    <w:rsid w:val="00EE6C54"/>
    <w:rsid w:val="00EE73ED"/>
    <w:rsid w:val="00EE7B2E"/>
    <w:rsid w:val="00EF53B5"/>
    <w:rsid w:val="00F0115A"/>
    <w:rsid w:val="00F4558F"/>
    <w:rsid w:val="00F475CA"/>
    <w:rsid w:val="00F62F38"/>
    <w:rsid w:val="00F6313E"/>
    <w:rsid w:val="00F72109"/>
    <w:rsid w:val="00F733D8"/>
    <w:rsid w:val="00F9494C"/>
    <w:rsid w:val="00F95C77"/>
    <w:rsid w:val="00FA0DB9"/>
    <w:rsid w:val="00FA6004"/>
    <w:rsid w:val="00FB7B92"/>
    <w:rsid w:val="00FD1720"/>
    <w:rsid w:val="00FD7168"/>
    <w:rsid w:val="00FD7A07"/>
    <w:rsid w:val="00FE05B6"/>
    <w:rsid w:val="00FE688B"/>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0A"/>
    <w:pPr>
      <w:spacing w:after="0" w:line="240" w:lineRule="auto"/>
    </w:pPr>
  </w:style>
  <w:style w:type="paragraph" w:styleId="Heading1">
    <w:name w:val="heading 1"/>
    <w:basedOn w:val="Normal"/>
    <w:next w:val="Normal"/>
    <w:link w:val="Heading1Char"/>
    <w:uiPriority w:val="9"/>
    <w:qFormat/>
    <w:rsid w:val="000C3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34C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0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0C3A0A"/>
    <w:rPr>
      <w:sz w:val="20"/>
      <w:szCs w:val="20"/>
    </w:rPr>
  </w:style>
  <w:style w:type="character" w:customStyle="1" w:styleId="FootnoteTextChar">
    <w:name w:val="Footnote Text Char"/>
    <w:basedOn w:val="DefaultParagraphFont"/>
    <w:link w:val="FootnoteText"/>
    <w:uiPriority w:val="99"/>
    <w:rsid w:val="000C3A0A"/>
    <w:rPr>
      <w:sz w:val="20"/>
      <w:szCs w:val="20"/>
    </w:rPr>
  </w:style>
  <w:style w:type="character" w:styleId="FootnoteReference">
    <w:name w:val="footnote reference"/>
    <w:basedOn w:val="DefaultParagraphFont"/>
    <w:uiPriority w:val="99"/>
    <w:unhideWhenUsed/>
    <w:rsid w:val="000C3A0A"/>
    <w:rPr>
      <w:vertAlign w:val="superscript"/>
    </w:rPr>
  </w:style>
  <w:style w:type="paragraph" w:styleId="BalloonText">
    <w:name w:val="Balloon Text"/>
    <w:basedOn w:val="Normal"/>
    <w:link w:val="BalloonTextChar"/>
    <w:uiPriority w:val="99"/>
    <w:semiHidden/>
    <w:unhideWhenUsed/>
    <w:rsid w:val="000C3A0A"/>
    <w:rPr>
      <w:rFonts w:ascii="Tahoma" w:hAnsi="Tahoma" w:cs="Tahoma"/>
      <w:sz w:val="16"/>
      <w:szCs w:val="16"/>
    </w:rPr>
  </w:style>
  <w:style w:type="character" w:customStyle="1" w:styleId="BalloonTextChar">
    <w:name w:val="Balloon Text Char"/>
    <w:basedOn w:val="DefaultParagraphFont"/>
    <w:link w:val="BalloonText"/>
    <w:uiPriority w:val="99"/>
    <w:semiHidden/>
    <w:rsid w:val="000C3A0A"/>
    <w:rPr>
      <w:rFonts w:ascii="Tahoma" w:hAnsi="Tahoma" w:cs="Tahoma"/>
      <w:sz w:val="16"/>
      <w:szCs w:val="16"/>
    </w:rPr>
  </w:style>
  <w:style w:type="table" w:styleId="TableGrid">
    <w:name w:val="Table Grid"/>
    <w:basedOn w:val="TableNormal"/>
    <w:uiPriority w:val="59"/>
    <w:rsid w:val="00182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957BF"/>
    <w:rPr>
      <w:b/>
      <w:bCs/>
    </w:rPr>
  </w:style>
  <w:style w:type="paragraph" w:styleId="ListParagraph">
    <w:name w:val="List Paragraph"/>
    <w:basedOn w:val="Normal"/>
    <w:uiPriority w:val="34"/>
    <w:qFormat/>
    <w:rsid w:val="00C77E24"/>
    <w:pPr>
      <w:spacing w:after="200" w:line="276" w:lineRule="auto"/>
      <w:ind w:left="720"/>
      <w:contextualSpacing/>
    </w:pPr>
    <w:rPr>
      <w:rFonts w:ascii="Times New Roman" w:hAnsi="Times New Roman"/>
      <w:sz w:val="24"/>
    </w:rPr>
  </w:style>
  <w:style w:type="paragraph" w:styleId="NoSpacing">
    <w:name w:val="No Spacing"/>
    <w:link w:val="NoSpacingChar"/>
    <w:uiPriority w:val="1"/>
    <w:qFormat/>
    <w:rsid w:val="003735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7352B"/>
    <w:rPr>
      <w:rFonts w:eastAsiaTheme="minorEastAsia"/>
      <w:lang w:eastAsia="ja-JP"/>
    </w:rPr>
  </w:style>
  <w:style w:type="character" w:customStyle="1" w:styleId="Heading3Char">
    <w:name w:val="Heading 3 Char"/>
    <w:basedOn w:val="DefaultParagraphFont"/>
    <w:link w:val="Heading3"/>
    <w:uiPriority w:val="9"/>
    <w:semiHidden/>
    <w:rsid w:val="00234C9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601F5"/>
    <w:rPr>
      <w:color w:val="0000FF" w:themeColor="hyperlink"/>
      <w:u w:val="single"/>
    </w:rPr>
  </w:style>
  <w:style w:type="paragraph" w:styleId="EndnoteText">
    <w:name w:val="endnote text"/>
    <w:basedOn w:val="Normal"/>
    <w:link w:val="EndnoteTextChar"/>
    <w:uiPriority w:val="99"/>
    <w:unhideWhenUsed/>
    <w:rsid w:val="001601F5"/>
    <w:pPr>
      <w:ind w:firstLine="720"/>
      <w:jc w:val="both"/>
    </w:pPr>
    <w:rPr>
      <w:sz w:val="20"/>
      <w:szCs w:val="20"/>
    </w:rPr>
  </w:style>
  <w:style w:type="character" w:customStyle="1" w:styleId="EndnoteTextChar">
    <w:name w:val="Endnote Text Char"/>
    <w:basedOn w:val="DefaultParagraphFont"/>
    <w:link w:val="EndnoteText"/>
    <w:uiPriority w:val="99"/>
    <w:rsid w:val="001601F5"/>
    <w:rPr>
      <w:sz w:val="20"/>
      <w:szCs w:val="20"/>
    </w:rPr>
  </w:style>
  <w:style w:type="paragraph" w:styleId="Header">
    <w:name w:val="header"/>
    <w:basedOn w:val="Normal"/>
    <w:link w:val="HeaderChar"/>
    <w:uiPriority w:val="99"/>
    <w:unhideWhenUsed/>
    <w:rsid w:val="007A6CEE"/>
    <w:pPr>
      <w:tabs>
        <w:tab w:val="center" w:pos="4680"/>
        <w:tab w:val="right" w:pos="9360"/>
      </w:tabs>
    </w:pPr>
  </w:style>
  <w:style w:type="character" w:customStyle="1" w:styleId="HeaderChar">
    <w:name w:val="Header Char"/>
    <w:basedOn w:val="DefaultParagraphFont"/>
    <w:link w:val="Header"/>
    <w:uiPriority w:val="99"/>
    <w:rsid w:val="007A6CEE"/>
  </w:style>
  <w:style w:type="paragraph" w:styleId="Footer">
    <w:name w:val="footer"/>
    <w:basedOn w:val="Normal"/>
    <w:link w:val="FooterChar"/>
    <w:uiPriority w:val="99"/>
    <w:unhideWhenUsed/>
    <w:rsid w:val="007A6CEE"/>
    <w:pPr>
      <w:tabs>
        <w:tab w:val="center" w:pos="4680"/>
        <w:tab w:val="right" w:pos="9360"/>
      </w:tabs>
    </w:pPr>
  </w:style>
  <w:style w:type="character" w:customStyle="1" w:styleId="FooterChar">
    <w:name w:val="Footer Char"/>
    <w:basedOn w:val="DefaultParagraphFont"/>
    <w:link w:val="Footer"/>
    <w:uiPriority w:val="99"/>
    <w:rsid w:val="007A6CEE"/>
  </w:style>
  <w:style w:type="paragraph" w:styleId="TOCHeading">
    <w:name w:val="TOC Heading"/>
    <w:basedOn w:val="Heading1"/>
    <w:next w:val="Normal"/>
    <w:uiPriority w:val="39"/>
    <w:semiHidden/>
    <w:unhideWhenUsed/>
    <w:qFormat/>
    <w:rsid w:val="00736AE4"/>
    <w:pPr>
      <w:spacing w:line="276" w:lineRule="auto"/>
      <w:outlineLvl w:val="9"/>
    </w:pPr>
    <w:rPr>
      <w:lang w:eastAsia="ja-JP"/>
    </w:rPr>
  </w:style>
  <w:style w:type="paragraph" w:styleId="TOC3">
    <w:name w:val="toc 3"/>
    <w:basedOn w:val="Normal"/>
    <w:next w:val="Normal"/>
    <w:autoRedefine/>
    <w:uiPriority w:val="39"/>
    <w:unhideWhenUsed/>
    <w:rsid w:val="00736AE4"/>
    <w:pPr>
      <w:spacing w:after="100"/>
      <w:ind w:left="440"/>
    </w:pPr>
  </w:style>
  <w:style w:type="paragraph" w:styleId="TOC1">
    <w:name w:val="toc 1"/>
    <w:basedOn w:val="Normal"/>
    <w:next w:val="Normal"/>
    <w:autoRedefine/>
    <w:uiPriority w:val="39"/>
    <w:unhideWhenUsed/>
    <w:rsid w:val="00736AE4"/>
    <w:pPr>
      <w:spacing w:after="100"/>
    </w:pPr>
  </w:style>
  <w:style w:type="character" w:styleId="PlaceholderText">
    <w:name w:val="Placeholder Text"/>
    <w:basedOn w:val="DefaultParagraphFont"/>
    <w:uiPriority w:val="99"/>
    <w:semiHidden/>
    <w:rsid w:val="005710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0A"/>
    <w:pPr>
      <w:spacing w:after="0" w:line="240" w:lineRule="auto"/>
    </w:pPr>
  </w:style>
  <w:style w:type="paragraph" w:styleId="Heading1">
    <w:name w:val="heading 1"/>
    <w:basedOn w:val="Normal"/>
    <w:next w:val="Normal"/>
    <w:link w:val="Heading1Char"/>
    <w:uiPriority w:val="9"/>
    <w:qFormat/>
    <w:rsid w:val="000C3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34C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0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0C3A0A"/>
    <w:rPr>
      <w:sz w:val="20"/>
      <w:szCs w:val="20"/>
    </w:rPr>
  </w:style>
  <w:style w:type="character" w:customStyle="1" w:styleId="FootnoteTextChar">
    <w:name w:val="Footnote Text Char"/>
    <w:basedOn w:val="DefaultParagraphFont"/>
    <w:link w:val="FootnoteText"/>
    <w:uiPriority w:val="99"/>
    <w:rsid w:val="000C3A0A"/>
    <w:rPr>
      <w:sz w:val="20"/>
      <w:szCs w:val="20"/>
    </w:rPr>
  </w:style>
  <w:style w:type="character" w:styleId="FootnoteReference">
    <w:name w:val="footnote reference"/>
    <w:basedOn w:val="DefaultParagraphFont"/>
    <w:uiPriority w:val="99"/>
    <w:unhideWhenUsed/>
    <w:rsid w:val="000C3A0A"/>
    <w:rPr>
      <w:vertAlign w:val="superscript"/>
    </w:rPr>
  </w:style>
  <w:style w:type="paragraph" w:styleId="BalloonText">
    <w:name w:val="Balloon Text"/>
    <w:basedOn w:val="Normal"/>
    <w:link w:val="BalloonTextChar"/>
    <w:uiPriority w:val="99"/>
    <w:semiHidden/>
    <w:unhideWhenUsed/>
    <w:rsid w:val="000C3A0A"/>
    <w:rPr>
      <w:rFonts w:ascii="Tahoma" w:hAnsi="Tahoma" w:cs="Tahoma"/>
      <w:sz w:val="16"/>
      <w:szCs w:val="16"/>
    </w:rPr>
  </w:style>
  <w:style w:type="character" w:customStyle="1" w:styleId="BalloonTextChar">
    <w:name w:val="Balloon Text Char"/>
    <w:basedOn w:val="DefaultParagraphFont"/>
    <w:link w:val="BalloonText"/>
    <w:uiPriority w:val="99"/>
    <w:semiHidden/>
    <w:rsid w:val="000C3A0A"/>
    <w:rPr>
      <w:rFonts w:ascii="Tahoma" w:hAnsi="Tahoma" w:cs="Tahoma"/>
      <w:sz w:val="16"/>
      <w:szCs w:val="16"/>
    </w:rPr>
  </w:style>
  <w:style w:type="table" w:styleId="TableGrid">
    <w:name w:val="Table Grid"/>
    <w:basedOn w:val="TableNormal"/>
    <w:uiPriority w:val="59"/>
    <w:rsid w:val="00182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957BF"/>
    <w:rPr>
      <w:b/>
      <w:bCs/>
    </w:rPr>
  </w:style>
  <w:style w:type="paragraph" w:styleId="ListParagraph">
    <w:name w:val="List Paragraph"/>
    <w:basedOn w:val="Normal"/>
    <w:uiPriority w:val="34"/>
    <w:qFormat/>
    <w:rsid w:val="00C77E24"/>
    <w:pPr>
      <w:spacing w:after="200" w:line="276" w:lineRule="auto"/>
      <w:ind w:left="720"/>
      <w:contextualSpacing/>
    </w:pPr>
    <w:rPr>
      <w:rFonts w:ascii="Times New Roman" w:hAnsi="Times New Roman"/>
      <w:sz w:val="24"/>
    </w:rPr>
  </w:style>
  <w:style w:type="paragraph" w:styleId="NoSpacing">
    <w:name w:val="No Spacing"/>
    <w:link w:val="NoSpacingChar"/>
    <w:uiPriority w:val="1"/>
    <w:qFormat/>
    <w:rsid w:val="003735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7352B"/>
    <w:rPr>
      <w:rFonts w:eastAsiaTheme="minorEastAsia"/>
      <w:lang w:eastAsia="ja-JP"/>
    </w:rPr>
  </w:style>
  <w:style w:type="character" w:customStyle="1" w:styleId="Heading3Char">
    <w:name w:val="Heading 3 Char"/>
    <w:basedOn w:val="DefaultParagraphFont"/>
    <w:link w:val="Heading3"/>
    <w:uiPriority w:val="9"/>
    <w:semiHidden/>
    <w:rsid w:val="00234C9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601F5"/>
    <w:rPr>
      <w:color w:val="0000FF" w:themeColor="hyperlink"/>
      <w:u w:val="single"/>
    </w:rPr>
  </w:style>
  <w:style w:type="paragraph" w:styleId="EndnoteText">
    <w:name w:val="endnote text"/>
    <w:basedOn w:val="Normal"/>
    <w:link w:val="EndnoteTextChar"/>
    <w:uiPriority w:val="99"/>
    <w:unhideWhenUsed/>
    <w:rsid w:val="001601F5"/>
    <w:pPr>
      <w:ind w:firstLine="720"/>
      <w:jc w:val="both"/>
    </w:pPr>
    <w:rPr>
      <w:sz w:val="20"/>
      <w:szCs w:val="20"/>
    </w:rPr>
  </w:style>
  <w:style w:type="character" w:customStyle="1" w:styleId="EndnoteTextChar">
    <w:name w:val="Endnote Text Char"/>
    <w:basedOn w:val="DefaultParagraphFont"/>
    <w:link w:val="EndnoteText"/>
    <w:uiPriority w:val="99"/>
    <w:rsid w:val="001601F5"/>
    <w:rPr>
      <w:sz w:val="20"/>
      <w:szCs w:val="20"/>
    </w:rPr>
  </w:style>
  <w:style w:type="paragraph" w:styleId="Header">
    <w:name w:val="header"/>
    <w:basedOn w:val="Normal"/>
    <w:link w:val="HeaderChar"/>
    <w:uiPriority w:val="99"/>
    <w:unhideWhenUsed/>
    <w:rsid w:val="007A6CEE"/>
    <w:pPr>
      <w:tabs>
        <w:tab w:val="center" w:pos="4680"/>
        <w:tab w:val="right" w:pos="9360"/>
      </w:tabs>
    </w:pPr>
  </w:style>
  <w:style w:type="character" w:customStyle="1" w:styleId="HeaderChar">
    <w:name w:val="Header Char"/>
    <w:basedOn w:val="DefaultParagraphFont"/>
    <w:link w:val="Header"/>
    <w:uiPriority w:val="99"/>
    <w:rsid w:val="007A6CEE"/>
  </w:style>
  <w:style w:type="paragraph" w:styleId="Footer">
    <w:name w:val="footer"/>
    <w:basedOn w:val="Normal"/>
    <w:link w:val="FooterChar"/>
    <w:uiPriority w:val="99"/>
    <w:unhideWhenUsed/>
    <w:rsid w:val="007A6CEE"/>
    <w:pPr>
      <w:tabs>
        <w:tab w:val="center" w:pos="4680"/>
        <w:tab w:val="right" w:pos="9360"/>
      </w:tabs>
    </w:pPr>
  </w:style>
  <w:style w:type="character" w:customStyle="1" w:styleId="FooterChar">
    <w:name w:val="Footer Char"/>
    <w:basedOn w:val="DefaultParagraphFont"/>
    <w:link w:val="Footer"/>
    <w:uiPriority w:val="99"/>
    <w:rsid w:val="007A6CEE"/>
  </w:style>
  <w:style w:type="paragraph" w:styleId="TOCHeading">
    <w:name w:val="TOC Heading"/>
    <w:basedOn w:val="Heading1"/>
    <w:next w:val="Normal"/>
    <w:uiPriority w:val="39"/>
    <w:semiHidden/>
    <w:unhideWhenUsed/>
    <w:qFormat/>
    <w:rsid w:val="00736AE4"/>
    <w:pPr>
      <w:spacing w:line="276" w:lineRule="auto"/>
      <w:outlineLvl w:val="9"/>
    </w:pPr>
    <w:rPr>
      <w:lang w:eastAsia="ja-JP"/>
    </w:rPr>
  </w:style>
  <w:style w:type="paragraph" w:styleId="TOC3">
    <w:name w:val="toc 3"/>
    <w:basedOn w:val="Normal"/>
    <w:next w:val="Normal"/>
    <w:autoRedefine/>
    <w:uiPriority w:val="39"/>
    <w:unhideWhenUsed/>
    <w:rsid w:val="00736AE4"/>
    <w:pPr>
      <w:spacing w:after="100"/>
      <w:ind w:left="440"/>
    </w:pPr>
  </w:style>
  <w:style w:type="paragraph" w:styleId="TOC1">
    <w:name w:val="toc 1"/>
    <w:basedOn w:val="Normal"/>
    <w:next w:val="Normal"/>
    <w:autoRedefine/>
    <w:uiPriority w:val="39"/>
    <w:unhideWhenUsed/>
    <w:rsid w:val="00736AE4"/>
    <w:pPr>
      <w:spacing w:after="100"/>
    </w:pPr>
  </w:style>
  <w:style w:type="character" w:styleId="PlaceholderText">
    <w:name w:val="Placeholder Text"/>
    <w:basedOn w:val="DefaultParagraphFont"/>
    <w:uiPriority w:val="99"/>
    <w:semiHidden/>
    <w:rsid w:val="00571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825">
      <w:bodyDiv w:val="1"/>
      <w:marLeft w:val="0"/>
      <w:marRight w:val="0"/>
      <w:marTop w:val="0"/>
      <w:marBottom w:val="0"/>
      <w:divBdr>
        <w:top w:val="none" w:sz="0" w:space="0" w:color="auto"/>
        <w:left w:val="none" w:sz="0" w:space="0" w:color="auto"/>
        <w:bottom w:val="none" w:sz="0" w:space="0" w:color="auto"/>
        <w:right w:val="none" w:sz="0" w:space="0" w:color="auto"/>
      </w:divBdr>
    </w:div>
    <w:div w:id="406270356">
      <w:bodyDiv w:val="1"/>
      <w:marLeft w:val="0"/>
      <w:marRight w:val="0"/>
      <w:marTop w:val="0"/>
      <w:marBottom w:val="0"/>
      <w:divBdr>
        <w:top w:val="none" w:sz="0" w:space="0" w:color="auto"/>
        <w:left w:val="none" w:sz="0" w:space="0" w:color="auto"/>
        <w:bottom w:val="none" w:sz="0" w:space="0" w:color="auto"/>
        <w:right w:val="none" w:sz="0" w:space="0" w:color="auto"/>
      </w:divBdr>
    </w:div>
    <w:div w:id="789936606">
      <w:bodyDiv w:val="1"/>
      <w:marLeft w:val="0"/>
      <w:marRight w:val="0"/>
      <w:marTop w:val="0"/>
      <w:marBottom w:val="0"/>
      <w:divBdr>
        <w:top w:val="none" w:sz="0" w:space="0" w:color="auto"/>
        <w:left w:val="none" w:sz="0" w:space="0" w:color="auto"/>
        <w:bottom w:val="none" w:sz="0" w:space="0" w:color="auto"/>
        <w:right w:val="none" w:sz="0" w:space="0" w:color="auto"/>
      </w:divBdr>
    </w:div>
    <w:div w:id="791509882">
      <w:bodyDiv w:val="1"/>
      <w:marLeft w:val="0"/>
      <w:marRight w:val="0"/>
      <w:marTop w:val="0"/>
      <w:marBottom w:val="0"/>
      <w:divBdr>
        <w:top w:val="none" w:sz="0" w:space="0" w:color="auto"/>
        <w:left w:val="none" w:sz="0" w:space="0" w:color="auto"/>
        <w:bottom w:val="none" w:sz="0" w:space="0" w:color="auto"/>
        <w:right w:val="none" w:sz="0" w:space="0" w:color="auto"/>
      </w:divBdr>
    </w:div>
    <w:div w:id="1156337466">
      <w:bodyDiv w:val="1"/>
      <w:marLeft w:val="0"/>
      <w:marRight w:val="0"/>
      <w:marTop w:val="0"/>
      <w:marBottom w:val="0"/>
      <w:divBdr>
        <w:top w:val="none" w:sz="0" w:space="0" w:color="auto"/>
        <w:left w:val="none" w:sz="0" w:space="0" w:color="auto"/>
        <w:bottom w:val="none" w:sz="0" w:space="0" w:color="auto"/>
        <w:right w:val="none" w:sz="0" w:space="0" w:color="auto"/>
      </w:divBdr>
    </w:div>
    <w:div w:id="1780828950">
      <w:bodyDiv w:val="1"/>
      <w:marLeft w:val="0"/>
      <w:marRight w:val="0"/>
      <w:marTop w:val="0"/>
      <w:marBottom w:val="0"/>
      <w:divBdr>
        <w:top w:val="none" w:sz="0" w:space="0" w:color="auto"/>
        <w:left w:val="none" w:sz="0" w:space="0" w:color="auto"/>
        <w:bottom w:val="none" w:sz="0" w:space="0" w:color="auto"/>
        <w:right w:val="none" w:sz="0" w:space="0" w:color="auto"/>
      </w:divBdr>
    </w:div>
    <w:div w:id="1831097092">
      <w:bodyDiv w:val="1"/>
      <w:marLeft w:val="0"/>
      <w:marRight w:val="0"/>
      <w:marTop w:val="0"/>
      <w:marBottom w:val="0"/>
      <w:divBdr>
        <w:top w:val="none" w:sz="0" w:space="0" w:color="auto"/>
        <w:left w:val="none" w:sz="0" w:space="0" w:color="auto"/>
        <w:bottom w:val="none" w:sz="0" w:space="0" w:color="auto"/>
        <w:right w:val="none" w:sz="0" w:space="0" w:color="auto"/>
      </w:divBdr>
    </w:div>
    <w:div w:id="20210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ts.oec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ts.oecd.org/"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week.com" TargetMode="External"/><Relationship Id="rId1" Type="http://schemas.openxmlformats.org/officeDocument/2006/relationships/hyperlink" Target="http://www.bls.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Work\Ishwar\MA_Dept_of_Higher_Ed_Project_2013\MA_Job_Vacancy_Data_6_digit_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ork\Ishwar\MA_Dept_of_Higher_Ed_Project_2013\MA_Job_Vacancy_Data_6_digit_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Work\Ishwar\MA_Dept_of_Higher_Ed_Project_2013\MA_Job_Vacancy_Data_6_digit_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Work\Ishwar\Connecticut%20Project\CT%20Job%20Ready%20Estimates,%202000-2011,%20Nov.%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Work\Ishwar\Connecticut%20Project\CT%20Job%20Ready%20Estimates,%202000-2011,%20Nov.%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08333333333334"/>
          <c:y val="0.12335666375036454"/>
          <c:w val="0.8263611111111111"/>
          <c:h val="0.69182852143482054"/>
        </c:manualLayout>
      </c:layout>
      <c:barChart>
        <c:barDir val="col"/>
        <c:grouping val="clustered"/>
        <c:varyColors val="0"/>
        <c:ser>
          <c:idx val="0"/>
          <c:order val="0"/>
          <c:invertIfNegative val="0"/>
          <c:dLbls>
            <c:dLbl>
              <c:idx val="0"/>
              <c:tx>
                <c:rich>
                  <a:bodyPr/>
                  <a:lstStyle/>
                  <a:p>
                    <a:r>
                      <a:rPr lang="en-US"/>
                      <a:t>45.2</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Sheet8!$B$3:$B$8</c:f>
              <c:numCache>
                <c:formatCode>General</c:formatCode>
                <c:ptCount val="6"/>
                <c:pt idx="0">
                  <c:v>2000</c:v>
                </c:pt>
                <c:pt idx="1">
                  <c:v>2003</c:v>
                </c:pt>
                <c:pt idx="2">
                  <c:v>2006</c:v>
                </c:pt>
                <c:pt idx="3">
                  <c:v>2010</c:v>
                </c:pt>
                <c:pt idx="4">
                  <c:v>2011</c:v>
                </c:pt>
                <c:pt idx="5">
                  <c:v>2012</c:v>
                </c:pt>
              </c:numCache>
            </c:numRef>
          </c:cat>
          <c:val>
            <c:numRef>
              <c:f>Sheet8!$C$3:$C$8</c:f>
              <c:numCache>
                <c:formatCode>General</c:formatCode>
                <c:ptCount val="6"/>
                <c:pt idx="0">
                  <c:v>45.3</c:v>
                </c:pt>
                <c:pt idx="1">
                  <c:v>37.200000000000003</c:v>
                </c:pt>
                <c:pt idx="2">
                  <c:v>37.6</c:v>
                </c:pt>
                <c:pt idx="3">
                  <c:v>26.8</c:v>
                </c:pt>
                <c:pt idx="4">
                  <c:v>26.3</c:v>
                </c:pt>
                <c:pt idx="5">
                  <c:v>26.1</c:v>
                </c:pt>
              </c:numCache>
            </c:numRef>
          </c:val>
        </c:ser>
        <c:dLbls>
          <c:dLblPos val="outEnd"/>
          <c:showLegendKey val="0"/>
          <c:showVal val="1"/>
          <c:showCatName val="0"/>
          <c:showSerName val="0"/>
          <c:showPercent val="0"/>
          <c:showBubbleSize val="0"/>
        </c:dLbls>
        <c:gapWidth val="150"/>
        <c:axId val="41710336"/>
        <c:axId val="41730048"/>
      </c:barChart>
      <c:catAx>
        <c:axId val="41710336"/>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41730048"/>
        <c:crosses val="autoZero"/>
        <c:auto val="1"/>
        <c:lblAlgn val="ctr"/>
        <c:lblOffset val="100"/>
        <c:noMultiLvlLbl val="0"/>
      </c:catAx>
      <c:valAx>
        <c:axId val="41730048"/>
        <c:scaling>
          <c:orientation val="minMax"/>
          <c:min val="10"/>
        </c:scaling>
        <c:delete val="0"/>
        <c:axPos val="l"/>
        <c:title>
          <c:tx>
            <c:rich>
              <a:bodyPr rot="0" vert="horz"/>
              <a:lstStyle/>
              <a:p>
                <a:pPr>
                  <a:defRPr/>
                </a:pPr>
                <a:r>
                  <a:rPr lang="en-US"/>
                  <a:t>Percent</a:t>
                </a:r>
              </a:p>
            </c:rich>
          </c:tx>
          <c:layout>
            <c:manualLayout>
              <c:xMode val="edge"/>
              <c:yMode val="edge"/>
              <c:x val="6.3888888888888884E-2"/>
              <c:y val="1.5370370370370371E-2"/>
            </c:manualLayout>
          </c:layout>
          <c:overlay val="0"/>
        </c:title>
        <c:numFmt formatCode="General" sourceLinked="1"/>
        <c:majorTickMark val="out"/>
        <c:minorTickMark val="none"/>
        <c:tickLblPos val="nextTo"/>
        <c:crossAx val="41710336"/>
        <c:crosses val="autoZero"/>
        <c:crossBetween val="between"/>
      </c:valAx>
    </c:plotArea>
    <c:plotVisOnly val="1"/>
    <c:dispBlanksAs val="gap"/>
    <c:showDLblsOverMax val="0"/>
  </c:chart>
  <c:txPr>
    <a:bodyPr/>
    <a:lstStyle/>
    <a:p>
      <a:pPr>
        <a:defRPr sz="12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9519321033776"/>
          <c:y val="0.13724555263925342"/>
          <c:w val="0.72506427572465848"/>
          <c:h val="0.73812481773111682"/>
        </c:manualLayout>
      </c:layout>
      <c:barChart>
        <c:barDir val="col"/>
        <c:grouping val="clustered"/>
        <c:varyColors val="0"/>
        <c:ser>
          <c:idx val="0"/>
          <c:order val="0"/>
          <c:tx>
            <c:strRef>
              <c:f>Sheet8!$C$12</c:f>
              <c:strCache>
                <c:ptCount val="1"/>
                <c:pt idx="0">
                  <c:v>1999/00</c:v>
                </c:pt>
              </c:strCache>
            </c:strRef>
          </c:tx>
          <c:spPr>
            <a:pattFill prst="smGrid">
              <a:fgClr>
                <a:schemeClr val="accent1"/>
              </a:fgClr>
              <a:bgClr>
                <a:schemeClr val="bg1"/>
              </a:bgClr>
            </a:pattFill>
          </c:spPr>
          <c:invertIfNegative val="0"/>
          <c:cat>
            <c:numRef>
              <c:f>Sheet8!$B$13:$B$16</c:f>
              <c:numCache>
                <c:formatCode>General</c:formatCode>
                <c:ptCount val="4"/>
                <c:pt idx="0">
                  <c:v>16</c:v>
                </c:pt>
                <c:pt idx="1">
                  <c:v>17</c:v>
                </c:pt>
                <c:pt idx="2">
                  <c:v>18</c:v>
                </c:pt>
                <c:pt idx="3">
                  <c:v>19</c:v>
                </c:pt>
              </c:numCache>
            </c:numRef>
          </c:cat>
          <c:val>
            <c:numRef>
              <c:f>Sheet8!$C$13:$C$16</c:f>
              <c:numCache>
                <c:formatCode>General</c:formatCode>
                <c:ptCount val="4"/>
                <c:pt idx="0">
                  <c:v>28.7</c:v>
                </c:pt>
                <c:pt idx="1">
                  <c:v>41.8</c:v>
                </c:pt>
                <c:pt idx="2">
                  <c:v>50.7</c:v>
                </c:pt>
                <c:pt idx="3">
                  <c:v>60.7</c:v>
                </c:pt>
              </c:numCache>
            </c:numRef>
          </c:val>
        </c:ser>
        <c:ser>
          <c:idx val="1"/>
          <c:order val="1"/>
          <c:tx>
            <c:strRef>
              <c:f>Sheet8!$D$12</c:f>
              <c:strCache>
                <c:ptCount val="1"/>
                <c:pt idx="0">
                  <c:v>2011/12</c:v>
                </c:pt>
              </c:strCache>
            </c:strRef>
          </c:tx>
          <c:invertIfNegative val="0"/>
          <c:cat>
            <c:numRef>
              <c:f>Sheet8!$B$13:$B$16</c:f>
              <c:numCache>
                <c:formatCode>General</c:formatCode>
                <c:ptCount val="4"/>
                <c:pt idx="0">
                  <c:v>16</c:v>
                </c:pt>
                <c:pt idx="1">
                  <c:v>17</c:v>
                </c:pt>
                <c:pt idx="2">
                  <c:v>18</c:v>
                </c:pt>
                <c:pt idx="3">
                  <c:v>19</c:v>
                </c:pt>
              </c:numCache>
            </c:numRef>
          </c:cat>
          <c:val>
            <c:numRef>
              <c:f>Sheet8!$D$13:$D$16</c:f>
              <c:numCache>
                <c:formatCode>General</c:formatCode>
                <c:ptCount val="4"/>
                <c:pt idx="0">
                  <c:v>11.1</c:v>
                </c:pt>
                <c:pt idx="1">
                  <c:v>20.8</c:v>
                </c:pt>
                <c:pt idx="2">
                  <c:v>31.8</c:v>
                </c:pt>
                <c:pt idx="3">
                  <c:v>43.7</c:v>
                </c:pt>
              </c:numCache>
            </c:numRef>
          </c:val>
        </c:ser>
        <c:dLbls>
          <c:dLblPos val="outEnd"/>
          <c:showLegendKey val="0"/>
          <c:showVal val="1"/>
          <c:showCatName val="0"/>
          <c:showSerName val="0"/>
          <c:showPercent val="0"/>
          <c:showBubbleSize val="0"/>
        </c:dLbls>
        <c:gapWidth val="150"/>
        <c:axId val="41747968"/>
        <c:axId val="41749888"/>
      </c:barChart>
      <c:catAx>
        <c:axId val="41747968"/>
        <c:scaling>
          <c:orientation val="minMax"/>
        </c:scaling>
        <c:delete val="0"/>
        <c:axPos val="b"/>
        <c:title>
          <c:tx>
            <c:rich>
              <a:bodyPr/>
              <a:lstStyle/>
              <a:p>
                <a:pPr>
                  <a:defRPr/>
                </a:pPr>
                <a:r>
                  <a:rPr lang="en-US"/>
                  <a:t>Age</a:t>
                </a:r>
              </a:p>
            </c:rich>
          </c:tx>
          <c:overlay val="0"/>
        </c:title>
        <c:numFmt formatCode="General" sourceLinked="1"/>
        <c:majorTickMark val="out"/>
        <c:minorTickMark val="none"/>
        <c:tickLblPos val="nextTo"/>
        <c:crossAx val="41749888"/>
        <c:crosses val="autoZero"/>
        <c:auto val="1"/>
        <c:lblAlgn val="ctr"/>
        <c:lblOffset val="100"/>
        <c:noMultiLvlLbl val="0"/>
      </c:catAx>
      <c:valAx>
        <c:axId val="41749888"/>
        <c:scaling>
          <c:orientation val="minMax"/>
        </c:scaling>
        <c:delete val="0"/>
        <c:axPos val="l"/>
        <c:title>
          <c:tx>
            <c:rich>
              <a:bodyPr rot="0" vert="horz"/>
              <a:lstStyle/>
              <a:p>
                <a:pPr>
                  <a:defRPr/>
                </a:pPr>
                <a:r>
                  <a:rPr lang="en-US"/>
                  <a:t>%</a:t>
                </a:r>
              </a:p>
            </c:rich>
          </c:tx>
          <c:layout>
            <c:manualLayout>
              <c:xMode val="edge"/>
              <c:yMode val="edge"/>
              <c:x val="9.5823131597601391E-2"/>
              <c:y val="2.2974628171478568E-2"/>
            </c:manualLayout>
          </c:layout>
          <c:overlay val="0"/>
        </c:title>
        <c:numFmt formatCode="General" sourceLinked="1"/>
        <c:majorTickMark val="out"/>
        <c:minorTickMark val="none"/>
        <c:tickLblPos val="nextTo"/>
        <c:crossAx val="41747968"/>
        <c:crosses val="autoZero"/>
        <c:crossBetween val="between"/>
      </c:valAx>
    </c:plotArea>
    <c:legend>
      <c:legendPos val="r"/>
      <c:overlay val="0"/>
    </c:legend>
    <c:plotVisOnly val="1"/>
    <c:dispBlanksAs val="gap"/>
    <c:showDLblsOverMax val="0"/>
  </c:chart>
  <c:txPr>
    <a:bodyPr/>
    <a:lstStyle/>
    <a:p>
      <a:pPr>
        <a:defRPr sz="12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Sheet8!$B$20:$B$26</c:f>
              <c:strCache>
                <c:ptCount val="7"/>
                <c:pt idx="0">
                  <c:v>Black Male, Under 20K</c:v>
                </c:pt>
                <c:pt idx="1">
                  <c:v>Black Female, Under 20K</c:v>
                </c:pt>
                <c:pt idx="2">
                  <c:v>Hispanic Female, 20-40K</c:v>
                </c:pt>
                <c:pt idx="3">
                  <c:v>Hispanic Male, 40-60K</c:v>
                </c:pt>
                <c:pt idx="4">
                  <c:v>White Male, 20-40K</c:v>
                </c:pt>
                <c:pt idx="5">
                  <c:v>Black Female, 150K+</c:v>
                </c:pt>
                <c:pt idx="6">
                  <c:v>White Female, 75-100K</c:v>
                </c:pt>
              </c:strCache>
            </c:strRef>
          </c:cat>
          <c:val>
            <c:numRef>
              <c:f>Sheet8!$C$20:$C$26</c:f>
              <c:numCache>
                <c:formatCode>0.0</c:formatCode>
                <c:ptCount val="7"/>
                <c:pt idx="0">
                  <c:v>11.4</c:v>
                </c:pt>
                <c:pt idx="1">
                  <c:v>14.7</c:v>
                </c:pt>
                <c:pt idx="2">
                  <c:v>21.8</c:v>
                </c:pt>
                <c:pt idx="3">
                  <c:v>24</c:v>
                </c:pt>
                <c:pt idx="4">
                  <c:v>27.8</c:v>
                </c:pt>
                <c:pt idx="5">
                  <c:v>30</c:v>
                </c:pt>
                <c:pt idx="6">
                  <c:v>38</c:v>
                </c:pt>
              </c:numCache>
            </c:numRef>
          </c:val>
        </c:ser>
        <c:dLbls>
          <c:dLblPos val="outEnd"/>
          <c:showLegendKey val="0"/>
          <c:showVal val="1"/>
          <c:showCatName val="0"/>
          <c:showSerName val="0"/>
          <c:showPercent val="0"/>
          <c:showBubbleSize val="0"/>
        </c:dLbls>
        <c:gapWidth val="150"/>
        <c:axId val="41800064"/>
        <c:axId val="41801600"/>
      </c:barChart>
      <c:catAx>
        <c:axId val="41800064"/>
        <c:scaling>
          <c:orientation val="minMax"/>
        </c:scaling>
        <c:delete val="0"/>
        <c:axPos val="b"/>
        <c:majorTickMark val="out"/>
        <c:minorTickMark val="none"/>
        <c:tickLblPos val="nextTo"/>
        <c:crossAx val="41801600"/>
        <c:crosses val="autoZero"/>
        <c:auto val="1"/>
        <c:lblAlgn val="ctr"/>
        <c:lblOffset val="100"/>
        <c:noMultiLvlLbl val="0"/>
      </c:catAx>
      <c:valAx>
        <c:axId val="41801600"/>
        <c:scaling>
          <c:orientation val="minMax"/>
        </c:scaling>
        <c:delete val="0"/>
        <c:axPos val="l"/>
        <c:numFmt formatCode="0.0" sourceLinked="1"/>
        <c:majorTickMark val="out"/>
        <c:minorTickMark val="none"/>
        <c:tickLblPos val="nextTo"/>
        <c:crossAx val="41800064"/>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instgq!$D$105</c:f>
              <c:strCache>
                <c:ptCount val="1"/>
                <c:pt idx="0">
                  <c:v>2000</c:v>
                </c:pt>
              </c:strCache>
            </c:strRef>
          </c:tx>
          <c:spPr>
            <a:pattFill prst="smGrid">
              <a:fgClr>
                <a:schemeClr val="accent1"/>
              </a:fgClr>
              <a:bgClr>
                <a:schemeClr val="bg1"/>
              </a:bgClr>
            </a:pattFill>
          </c:spPr>
          <c:invertIfNegative val="0"/>
          <c:cat>
            <c:strRef>
              <c:f>instgq!$C$106:$C$108</c:f>
              <c:strCache>
                <c:ptCount val="3"/>
                <c:pt idx="0">
                  <c:v>All</c:v>
                </c:pt>
                <c:pt idx="1">
                  <c:v>Men</c:v>
                </c:pt>
                <c:pt idx="2">
                  <c:v>Women</c:v>
                </c:pt>
              </c:strCache>
            </c:strRef>
          </c:cat>
          <c:val>
            <c:numRef>
              <c:f>instgq!$D$106:$D$108</c:f>
              <c:numCache>
                <c:formatCode>0.0</c:formatCode>
                <c:ptCount val="3"/>
                <c:pt idx="0">
                  <c:v>15</c:v>
                </c:pt>
                <c:pt idx="1">
                  <c:v>11.8</c:v>
                </c:pt>
                <c:pt idx="2">
                  <c:v>18.2</c:v>
                </c:pt>
              </c:numCache>
            </c:numRef>
          </c:val>
        </c:ser>
        <c:ser>
          <c:idx val="1"/>
          <c:order val="1"/>
          <c:tx>
            <c:strRef>
              <c:f>instgq!$E$105</c:f>
              <c:strCache>
                <c:ptCount val="1"/>
                <c:pt idx="0">
                  <c:v>2012</c:v>
                </c:pt>
              </c:strCache>
            </c:strRef>
          </c:tx>
          <c:invertIfNegative val="0"/>
          <c:cat>
            <c:strRef>
              <c:f>instgq!$C$106:$C$108</c:f>
              <c:strCache>
                <c:ptCount val="3"/>
                <c:pt idx="0">
                  <c:v>All</c:v>
                </c:pt>
                <c:pt idx="1">
                  <c:v>Men</c:v>
                </c:pt>
                <c:pt idx="2">
                  <c:v>Women</c:v>
                </c:pt>
              </c:strCache>
            </c:strRef>
          </c:cat>
          <c:val>
            <c:numRef>
              <c:f>instgq!$E$106:$E$108</c:f>
              <c:numCache>
                <c:formatCode>0.0</c:formatCode>
                <c:ptCount val="3"/>
                <c:pt idx="0">
                  <c:v>2.6</c:v>
                </c:pt>
                <c:pt idx="1">
                  <c:v>0.3</c:v>
                </c:pt>
                <c:pt idx="2">
                  <c:v>6.9</c:v>
                </c:pt>
              </c:numCache>
            </c:numRef>
          </c:val>
        </c:ser>
        <c:dLbls>
          <c:dLblPos val="outEnd"/>
          <c:showLegendKey val="0"/>
          <c:showVal val="1"/>
          <c:showCatName val="0"/>
          <c:showSerName val="0"/>
          <c:showPercent val="0"/>
          <c:showBubbleSize val="0"/>
        </c:dLbls>
        <c:gapWidth val="150"/>
        <c:axId val="41851904"/>
        <c:axId val="41861888"/>
      </c:barChart>
      <c:catAx>
        <c:axId val="41851904"/>
        <c:scaling>
          <c:orientation val="minMax"/>
        </c:scaling>
        <c:delete val="0"/>
        <c:axPos val="b"/>
        <c:majorTickMark val="out"/>
        <c:minorTickMark val="none"/>
        <c:tickLblPos val="nextTo"/>
        <c:crossAx val="41861888"/>
        <c:crosses val="autoZero"/>
        <c:auto val="1"/>
        <c:lblAlgn val="ctr"/>
        <c:lblOffset val="100"/>
        <c:noMultiLvlLbl val="0"/>
      </c:catAx>
      <c:valAx>
        <c:axId val="41861888"/>
        <c:scaling>
          <c:orientation val="minMax"/>
        </c:scaling>
        <c:delete val="0"/>
        <c:axPos val="l"/>
        <c:numFmt formatCode="0.0" sourceLinked="1"/>
        <c:majorTickMark val="out"/>
        <c:minorTickMark val="none"/>
        <c:tickLblPos val="nextTo"/>
        <c:crossAx val="41851904"/>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instgq!$D$112</c:f>
              <c:strCache>
                <c:ptCount val="1"/>
                <c:pt idx="0">
                  <c:v>2000</c:v>
                </c:pt>
              </c:strCache>
            </c:strRef>
          </c:tx>
          <c:spPr>
            <a:pattFill prst="smGrid">
              <a:fgClr>
                <a:schemeClr val="accent1"/>
              </a:fgClr>
              <a:bgClr>
                <a:schemeClr val="bg1"/>
              </a:bgClr>
            </a:pattFill>
          </c:spPr>
          <c:invertIfNegative val="0"/>
          <c:cat>
            <c:strRef>
              <c:f>instgq!$C$113:$C$115</c:f>
              <c:strCache>
                <c:ptCount val="3"/>
                <c:pt idx="0">
                  <c:v>All</c:v>
                </c:pt>
                <c:pt idx="1">
                  <c:v>Men</c:v>
                </c:pt>
                <c:pt idx="2">
                  <c:v>Women</c:v>
                </c:pt>
              </c:strCache>
            </c:strRef>
          </c:cat>
          <c:val>
            <c:numRef>
              <c:f>instgq!$D$113:$D$115</c:f>
              <c:numCache>
                <c:formatCode>0</c:formatCode>
                <c:ptCount val="3"/>
                <c:pt idx="0">
                  <c:v>7</c:v>
                </c:pt>
                <c:pt idx="1">
                  <c:v>8</c:v>
                </c:pt>
                <c:pt idx="2">
                  <c:v>7</c:v>
                </c:pt>
              </c:numCache>
            </c:numRef>
          </c:val>
        </c:ser>
        <c:ser>
          <c:idx val="1"/>
          <c:order val="1"/>
          <c:tx>
            <c:strRef>
              <c:f>instgq!$E$112</c:f>
              <c:strCache>
                <c:ptCount val="1"/>
                <c:pt idx="0">
                  <c:v>2012</c:v>
                </c:pt>
              </c:strCache>
            </c:strRef>
          </c:tx>
          <c:invertIfNegative val="0"/>
          <c:cat>
            <c:strRef>
              <c:f>instgq!$C$113:$C$115</c:f>
              <c:strCache>
                <c:ptCount val="3"/>
                <c:pt idx="0">
                  <c:v>All</c:v>
                </c:pt>
                <c:pt idx="1">
                  <c:v>Men</c:v>
                </c:pt>
                <c:pt idx="2">
                  <c:v>Women</c:v>
                </c:pt>
              </c:strCache>
            </c:strRef>
          </c:cat>
          <c:val>
            <c:numRef>
              <c:f>instgq!$E$113:$E$115</c:f>
              <c:numCache>
                <c:formatCode>0</c:formatCode>
                <c:ptCount val="3"/>
                <c:pt idx="0">
                  <c:v>12</c:v>
                </c:pt>
                <c:pt idx="1">
                  <c:v>14</c:v>
                </c:pt>
                <c:pt idx="2">
                  <c:v>11</c:v>
                </c:pt>
              </c:numCache>
            </c:numRef>
          </c:val>
        </c:ser>
        <c:dLbls>
          <c:dLblPos val="outEnd"/>
          <c:showLegendKey val="0"/>
          <c:showVal val="1"/>
          <c:showCatName val="0"/>
          <c:showSerName val="0"/>
          <c:showPercent val="0"/>
          <c:showBubbleSize val="0"/>
        </c:dLbls>
        <c:gapWidth val="150"/>
        <c:axId val="41871616"/>
        <c:axId val="41881600"/>
      </c:barChart>
      <c:catAx>
        <c:axId val="41871616"/>
        <c:scaling>
          <c:orientation val="minMax"/>
        </c:scaling>
        <c:delete val="0"/>
        <c:axPos val="b"/>
        <c:majorTickMark val="out"/>
        <c:minorTickMark val="none"/>
        <c:tickLblPos val="nextTo"/>
        <c:crossAx val="41881600"/>
        <c:crosses val="autoZero"/>
        <c:auto val="1"/>
        <c:lblAlgn val="ctr"/>
        <c:lblOffset val="100"/>
        <c:noMultiLvlLbl val="0"/>
      </c:catAx>
      <c:valAx>
        <c:axId val="41881600"/>
        <c:scaling>
          <c:orientation val="minMax"/>
        </c:scaling>
        <c:delete val="0"/>
        <c:axPos val="l"/>
        <c:title>
          <c:tx>
            <c:rich>
              <a:bodyPr rot="-5400000" vert="horz"/>
              <a:lstStyle/>
              <a:p>
                <a:pPr>
                  <a:defRPr b="0"/>
                </a:pPr>
                <a:r>
                  <a:rPr lang="en-US" b="0"/>
                  <a:t>Rank</a:t>
                </a:r>
              </a:p>
            </c:rich>
          </c:tx>
          <c:overlay val="0"/>
        </c:title>
        <c:numFmt formatCode="0" sourceLinked="1"/>
        <c:majorTickMark val="out"/>
        <c:minorTickMark val="none"/>
        <c:tickLblPos val="nextTo"/>
        <c:crossAx val="41871616"/>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DF34-C760-47B2-9308-4851EB3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The Deteriorating Labor Market Fortunes of America’s Teens, 2000-2012, the Decline in Our International Position, and the Consequences for Future Young Adult Employment in Our Nation</vt:lpstr>
    </vt:vector>
  </TitlesOfParts>
  <Company>Northeastern University</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Deteriorating Labor Market Fortunes of America’s Teens, 2000-2012, the Decline in Our International Position, and the Consequences for Future Young Adult Employment in Our Nation</dc:title>
  <dc:creator>Khatiwada, Ishwar</dc:creator>
  <cp:lastModifiedBy>Kelley</cp:lastModifiedBy>
  <cp:revision>2</cp:revision>
  <cp:lastPrinted>2014-03-31T14:20:00Z</cp:lastPrinted>
  <dcterms:created xsi:type="dcterms:W3CDTF">2014-03-31T14:20:00Z</dcterms:created>
  <dcterms:modified xsi:type="dcterms:W3CDTF">2014-03-31T14:20:00Z</dcterms:modified>
</cp:coreProperties>
</file>